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b/>
          <w:sz w:val="44"/>
          <w:szCs w:val="44"/>
        </w:rPr>
      </w:pPr>
    </w:p>
    <w:p>
      <w:pPr>
        <w:jc w:val="center"/>
        <w:rPr>
          <w:rFonts w:ascii="宋体" w:hAnsi="宋体" w:cs="宋体"/>
          <w:b/>
          <w:sz w:val="36"/>
          <w:szCs w:val="36"/>
        </w:rPr>
      </w:pPr>
      <w:r>
        <w:rPr>
          <w:rFonts w:hint="eastAsia" w:ascii="宋体" w:hAnsi="宋体" w:cs="宋体"/>
          <w:b/>
          <w:sz w:val="36"/>
          <w:szCs w:val="36"/>
        </w:rPr>
        <w:t>《菜籽油轮换购销双向竞价专场交易细则》</w:t>
      </w:r>
    </w:p>
    <w:p>
      <w:pPr>
        <w:jc w:val="center"/>
        <w:outlineLvl w:val="0"/>
        <w:rPr>
          <w:rFonts w:ascii="宋体" w:hAnsi="宋体" w:cs="宋体"/>
          <w:b/>
          <w:sz w:val="36"/>
          <w:szCs w:val="36"/>
        </w:rPr>
      </w:pPr>
      <w:r>
        <w:rPr>
          <w:rFonts w:hint="eastAsia" w:ascii="宋体" w:hAnsi="宋体" w:cs="宋体"/>
          <w:b/>
          <w:sz w:val="36"/>
          <w:szCs w:val="36"/>
        </w:rPr>
        <w:t>(202</w:t>
      </w:r>
      <w:r>
        <w:rPr>
          <w:rFonts w:hint="eastAsia" w:ascii="宋体" w:hAnsi="宋体" w:cs="宋体"/>
          <w:b/>
          <w:sz w:val="36"/>
          <w:szCs w:val="36"/>
          <w:lang w:val="en-US" w:eastAsia="zh-CN"/>
        </w:rPr>
        <w:t>2</w:t>
      </w:r>
      <w:r>
        <w:rPr>
          <w:rFonts w:hint="eastAsia" w:ascii="宋体" w:hAnsi="宋体" w:cs="宋体"/>
          <w:b/>
          <w:sz w:val="36"/>
          <w:szCs w:val="36"/>
        </w:rPr>
        <w:t>年</w:t>
      </w:r>
      <w:r>
        <w:rPr>
          <w:rFonts w:hint="eastAsia" w:ascii="宋体" w:hAnsi="宋体" w:cs="宋体"/>
          <w:b/>
          <w:sz w:val="36"/>
          <w:szCs w:val="36"/>
          <w:lang w:val="en-US" w:eastAsia="zh-CN"/>
        </w:rPr>
        <w:t>1</w:t>
      </w:r>
      <w:r>
        <w:rPr>
          <w:rFonts w:hint="eastAsia" w:ascii="宋体" w:hAnsi="宋体" w:cs="宋体"/>
          <w:b/>
          <w:sz w:val="36"/>
          <w:szCs w:val="36"/>
        </w:rPr>
        <w:t>月</w:t>
      </w:r>
      <w:r>
        <w:rPr>
          <w:rFonts w:hint="eastAsia" w:ascii="宋体" w:hAnsi="宋体" w:cs="宋体"/>
          <w:b/>
          <w:sz w:val="36"/>
          <w:szCs w:val="36"/>
          <w:lang w:val="en-US" w:eastAsia="zh-CN"/>
        </w:rPr>
        <w:t>6</w:t>
      </w:r>
      <w:r>
        <w:rPr>
          <w:rFonts w:hint="eastAsia" w:ascii="宋体" w:hAnsi="宋体" w:cs="宋体"/>
          <w:b/>
          <w:sz w:val="36"/>
          <w:szCs w:val="36"/>
        </w:rPr>
        <w:t>日 试行)</w:t>
      </w:r>
    </w:p>
    <w:p>
      <w:pPr>
        <w:rPr>
          <w:rFonts w:ascii="仿宋_GB2312" w:eastAsia="仿宋_GB2312"/>
        </w:rPr>
      </w:pPr>
    </w:p>
    <w:p>
      <w:pPr>
        <w:rPr>
          <w:rFonts w:ascii="仿宋_GB2312" w:eastAsia="仿宋_GB2312"/>
        </w:rPr>
      </w:pPr>
    </w:p>
    <w:p>
      <w:pPr>
        <w:jc w:val="center"/>
        <w:rPr>
          <w:rFonts w:ascii="黑体" w:hAnsi="黑体" w:eastAsia="黑体"/>
          <w:sz w:val="32"/>
          <w:szCs w:val="32"/>
        </w:rPr>
      </w:pPr>
      <w:r>
        <w:rPr>
          <w:rFonts w:hint="eastAsia" w:ascii="黑体" w:hAnsi="黑体" w:eastAsia="黑体"/>
          <w:sz w:val="32"/>
          <w:szCs w:val="32"/>
        </w:rPr>
        <w:t>第一章 总则</w:t>
      </w:r>
    </w:p>
    <w:p>
      <w:pPr>
        <w:tabs>
          <w:tab w:val="left" w:pos="-180"/>
          <w:tab w:val="left" w:pos="2012"/>
        </w:tabs>
        <w:ind w:firstLine="602" w:firstLineChars="200"/>
        <w:rPr>
          <w:rFonts w:ascii="仿宋_GB2312" w:eastAsia="仿宋_GB2312"/>
          <w:sz w:val="30"/>
          <w:szCs w:val="30"/>
        </w:rPr>
      </w:pPr>
      <w:r>
        <w:rPr>
          <w:rFonts w:hint="eastAsia" w:ascii="仿宋_GB2312" w:eastAsia="仿宋_GB2312"/>
          <w:b/>
          <w:sz w:val="30"/>
          <w:szCs w:val="30"/>
        </w:rPr>
        <w:t xml:space="preserve">第一条 </w:t>
      </w:r>
      <w:r>
        <w:rPr>
          <w:rFonts w:hint="eastAsia" w:ascii="仿宋_GB2312" w:eastAsia="仿宋_GB2312"/>
          <w:sz w:val="30"/>
          <w:szCs w:val="30"/>
        </w:rPr>
        <w:t>为保障竞价专场的顺利开展，规范交易行为，维护会员的合法权益和社会公共利益，确保本次竞价交易正常有序地进行，根据国家有关法律、法规及相关政策文件，特制定本交易细则（以下简称“本细则”）。</w:t>
      </w:r>
    </w:p>
    <w:p>
      <w:pPr>
        <w:spacing w:line="500" w:lineRule="exact"/>
        <w:ind w:firstLine="602" w:firstLineChars="200"/>
        <w:rPr>
          <w:rFonts w:hint="eastAsia" w:ascii="仿宋_GB2312" w:eastAsia="仿宋_GB2312"/>
          <w:sz w:val="30"/>
          <w:szCs w:val="30"/>
        </w:rPr>
      </w:pPr>
      <w:r>
        <w:rPr>
          <w:rFonts w:hint="eastAsia" w:ascii="仿宋_GB2312" w:eastAsia="仿宋_GB2312"/>
          <w:b/>
          <w:sz w:val="30"/>
          <w:szCs w:val="30"/>
        </w:rPr>
        <w:t xml:space="preserve">第二条 </w:t>
      </w:r>
      <w:r>
        <w:rPr>
          <w:rFonts w:hint="eastAsia" w:ascii="仿宋_GB2312" w:eastAsia="仿宋_GB2312"/>
          <w:sz w:val="30"/>
          <w:szCs w:val="30"/>
        </w:rPr>
        <w:t>本细则适用于由重庆市粮油批发市场有限责任公司即国家粮食重庆交易中心（以下简称“交易中心”）组织的菜籽油轮换购销双向竞价专场交易活动。交易双方当事人、交易工作人员等必须遵守本细则。</w:t>
      </w:r>
      <w:r>
        <w:rPr>
          <w:rFonts w:hint="eastAsia" w:ascii="仿宋_GB2312" w:eastAsia="仿宋_GB2312"/>
          <w:sz w:val="30"/>
          <w:szCs w:val="30"/>
          <w:lang w:val="en-US" w:eastAsia="zh-CN"/>
        </w:rPr>
        <w:t>中标方在菜籽油轮换过程中应严格按照重庆市发展和改革委员会、重庆市财政局、中国农业发展银行重庆市分行印发的《重庆市地方政府储备粮轮换管理办法》（渝发改规范【2021】7号）要求执行。</w:t>
      </w:r>
    </w:p>
    <w:p>
      <w:pPr>
        <w:tabs>
          <w:tab w:val="left" w:pos="-180"/>
          <w:tab w:val="left" w:pos="2012"/>
        </w:tabs>
        <w:ind w:firstLine="596" w:firstLineChars="198"/>
        <w:rPr>
          <w:rFonts w:ascii="仿宋_GB2312" w:eastAsia="仿宋_GB2312"/>
          <w:sz w:val="30"/>
          <w:szCs w:val="30"/>
        </w:rPr>
      </w:pPr>
      <w:r>
        <w:rPr>
          <w:rFonts w:hint="eastAsia" w:ascii="仿宋_GB2312" w:eastAsia="仿宋_GB2312"/>
          <w:b/>
          <w:sz w:val="30"/>
          <w:szCs w:val="30"/>
        </w:rPr>
        <w:t xml:space="preserve">第三条 </w:t>
      </w:r>
      <w:r>
        <w:rPr>
          <w:rFonts w:hint="eastAsia" w:ascii="仿宋_GB2312" w:eastAsia="仿宋_GB2312"/>
          <w:sz w:val="30"/>
          <w:szCs w:val="30"/>
        </w:rPr>
        <w:t>交易中心按照“公开、公平、公正、诚实、守信”的原则开展竞价交易活动</w:t>
      </w:r>
      <w:r>
        <w:rPr>
          <w:rFonts w:hint="eastAsia" w:ascii="方正仿宋_GBK" w:hAnsi="方正仿宋_GBK" w:eastAsia="方正仿宋_GBK" w:cs="方正仿宋_GBK"/>
          <w:sz w:val="32"/>
          <w:szCs w:val="32"/>
        </w:rPr>
        <w:t>。</w:t>
      </w:r>
    </w:p>
    <w:p>
      <w:pPr>
        <w:tabs>
          <w:tab w:val="left" w:pos="-180"/>
          <w:tab w:val="left" w:pos="1303"/>
        </w:tabs>
        <w:ind w:firstLine="602" w:firstLineChars="200"/>
        <w:rPr>
          <w:rFonts w:ascii="仿宋_GB2312" w:eastAsia="仿宋_GB2312"/>
          <w:sz w:val="30"/>
          <w:szCs w:val="30"/>
        </w:rPr>
      </w:pPr>
      <w:r>
        <w:rPr>
          <w:rFonts w:hint="eastAsia" w:ascii="仿宋_GB2312" w:eastAsia="仿宋_GB2312"/>
          <w:b/>
          <w:sz w:val="30"/>
          <w:szCs w:val="30"/>
        </w:rPr>
        <w:t xml:space="preserve">第四条 </w:t>
      </w:r>
      <w:r>
        <w:rPr>
          <w:rFonts w:hint="eastAsia" w:ascii="仿宋_GB2312" w:eastAsia="仿宋_GB2312"/>
          <w:sz w:val="30"/>
          <w:szCs w:val="30"/>
        </w:rPr>
        <w:t>交易模式：此批竞价交易受</w:t>
      </w:r>
      <w:r>
        <w:rPr>
          <w:rFonts w:hint="eastAsia" w:ascii="仿宋_GB2312" w:eastAsia="仿宋_GB2312"/>
          <w:sz w:val="30"/>
          <w:szCs w:val="30"/>
          <w:lang w:val="en-US" w:eastAsia="zh-CN"/>
        </w:rPr>
        <w:t>重庆市丰都县储备粮</w:t>
      </w:r>
      <w:r>
        <w:rPr>
          <w:rFonts w:hint="eastAsia" w:ascii="仿宋_GB2312" w:eastAsia="仿宋_GB2312"/>
          <w:sz w:val="30"/>
          <w:szCs w:val="30"/>
        </w:rPr>
        <w:t>有限公司委托（以下简称“委托方”），采取网上竞价交易。轮换购销双向竞价交易，指委托方与竞价中标方按交易清单中公布价格签订轮入粮油采购合同，同时按竞价成交价格签订轮出粮油销售合同，轮出粮油和轮入新油同时为交易标的。</w:t>
      </w:r>
    </w:p>
    <w:p>
      <w:pPr>
        <w:tabs>
          <w:tab w:val="left" w:pos="-180"/>
          <w:tab w:val="left" w:pos="2012"/>
        </w:tabs>
        <w:ind w:firstLine="602" w:firstLineChars="200"/>
        <w:rPr>
          <w:rFonts w:ascii="仿宋_GB2312" w:eastAsia="仿宋_GB2312"/>
          <w:sz w:val="30"/>
          <w:szCs w:val="30"/>
        </w:rPr>
      </w:pPr>
      <w:r>
        <w:rPr>
          <w:rFonts w:hint="eastAsia" w:ascii="仿宋_GB2312" w:eastAsia="仿宋_GB2312"/>
          <w:b/>
          <w:sz w:val="30"/>
          <w:szCs w:val="30"/>
        </w:rPr>
        <w:t>第五条</w:t>
      </w:r>
      <w:r>
        <w:rPr>
          <w:rFonts w:hint="eastAsia" w:ascii="仿宋_GB2312" w:eastAsia="仿宋_GB2312"/>
          <w:sz w:val="30"/>
          <w:szCs w:val="30"/>
        </w:rPr>
        <w:t xml:space="preserve"> 本细则涉及的交易信息和标的物，仅限于委托交易中心轮换购销双向竞价交易标的。</w:t>
      </w:r>
    </w:p>
    <w:p>
      <w:pPr>
        <w:numPr>
          <w:ilvl w:val="255"/>
          <w:numId w:val="0"/>
        </w:numPr>
        <w:spacing w:line="594" w:lineRule="exact"/>
        <w:jc w:val="center"/>
        <w:rPr>
          <w:rStyle w:val="12"/>
          <w:rFonts w:hAnsi="方正黑体_GBK" w:eastAsia="方正黑体_GBK"/>
          <w:b w:val="0"/>
          <w:bCs/>
          <w:sz w:val="32"/>
          <w:szCs w:val="32"/>
        </w:rPr>
      </w:pPr>
      <w:r>
        <w:rPr>
          <w:rStyle w:val="12"/>
          <w:rFonts w:hint="eastAsia" w:hAnsi="方正黑体_GBK" w:eastAsia="方正黑体_GBK"/>
          <w:b w:val="0"/>
          <w:bCs/>
          <w:sz w:val="32"/>
          <w:szCs w:val="32"/>
        </w:rPr>
        <w:t>第二章</w:t>
      </w:r>
      <w:r>
        <w:rPr>
          <w:rStyle w:val="12"/>
          <w:rFonts w:hAnsi="方正黑体_GBK" w:eastAsia="方正黑体_GBK"/>
          <w:b w:val="0"/>
          <w:bCs/>
          <w:sz w:val="32"/>
          <w:szCs w:val="32"/>
        </w:rPr>
        <w:t xml:space="preserve"> 交易准备</w:t>
      </w:r>
    </w:p>
    <w:p>
      <w:pPr>
        <w:spacing w:line="594" w:lineRule="exact"/>
        <w:rPr>
          <w:rStyle w:val="12"/>
          <w:rFonts w:hAnsi="方正黑体_GBK" w:eastAsia="方正黑体_GBK"/>
          <w:b w:val="0"/>
          <w:bCs/>
          <w:sz w:val="32"/>
          <w:szCs w:val="32"/>
        </w:rPr>
      </w:pPr>
    </w:p>
    <w:p>
      <w:pPr>
        <w:pStyle w:val="8"/>
        <w:widowControl/>
        <w:spacing w:beforeAutospacing="0" w:afterAutospacing="0" w:line="594" w:lineRule="exact"/>
        <w:ind w:left="165" w:firstLine="480"/>
        <w:jc w:val="left"/>
        <w:rPr>
          <w:rFonts w:ascii="仿宋_GB2312" w:eastAsia="仿宋_GB2312"/>
          <w:sz w:val="30"/>
          <w:szCs w:val="30"/>
          <w:lang w:val="zh-CN"/>
        </w:rPr>
      </w:pPr>
      <w:r>
        <w:rPr>
          <w:rFonts w:hAnsi="方正楷体_GBK" w:eastAsia="方正楷体_GBK"/>
          <w:sz w:val="32"/>
          <w:szCs w:val="32"/>
          <w:lang w:val="zh-CN"/>
        </w:rPr>
        <w:t>第</w:t>
      </w:r>
      <w:r>
        <w:rPr>
          <w:rFonts w:hint="eastAsia" w:hAnsi="方正楷体_GBK" w:eastAsia="方正楷体_GBK"/>
          <w:sz w:val="32"/>
          <w:szCs w:val="32"/>
        </w:rPr>
        <w:t>六</w:t>
      </w:r>
      <w:r>
        <w:rPr>
          <w:rFonts w:hAnsi="方正楷体_GBK" w:eastAsia="方正楷体_GBK"/>
          <w:sz w:val="32"/>
          <w:szCs w:val="32"/>
          <w:lang w:val="zh-CN"/>
        </w:rPr>
        <w:t>条</w:t>
      </w:r>
      <w:r>
        <w:rPr>
          <w:rFonts w:eastAsia="方正仿宋_GBK"/>
          <w:sz w:val="32"/>
          <w:szCs w:val="32"/>
          <w:lang w:val="zh-CN"/>
        </w:rPr>
        <w:t xml:space="preserve"> </w:t>
      </w:r>
      <w:r>
        <w:rPr>
          <w:rFonts w:hint="eastAsia" w:eastAsia="方正仿宋_GBK"/>
          <w:sz w:val="32"/>
          <w:szCs w:val="32"/>
        </w:rPr>
        <w:t xml:space="preserve">  </w:t>
      </w:r>
      <w:r>
        <w:rPr>
          <w:rFonts w:ascii="仿宋_GB2312" w:eastAsia="仿宋_GB2312"/>
          <w:sz w:val="30"/>
          <w:szCs w:val="30"/>
          <w:lang w:val="zh-CN"/>
        </w:rPr>
        <w:t>参加交易的</w:t>
      </w:r>
      <w:r>
        <w:rPr>
          <w:rFonts w:hint="eastAsia" w:ascii="仿宋_GB2312" w:eastAsia="仿宋_GB2312"/>
          <w:sz w:val="30"/>
          <w:szCs w:val="30"/>
        </w:rPr>
        <w:t>企业</w:t>
      </w:r>
      <w:r>
        <w:rPr>
          <w:rFonts w:ascii="仿宋_GB2312" w:eastAsia="仿宋_GB2312"/>
          <w:sz w:val="30"/>
          <w:szCs w:val="30"/>
          <w:lang w:val="zh-CN"/>
        </w:rPr>
        <w:t>须成为交易中心会员</w:t>
      </w:r>
      <w:r>
        <w:rPr>
          <w:rFonts w:ascii="仿宋_GB2312" w:eastAsia="仿宋_GB2312"/>
          <w:sz w:val="30"/>
          <w:szCs w:val="30"/>
        </w:rPr>
        <w:t>后</w:t>
      </w:r>
      <w:r>
        <w:rPr>
          <w:rFonts w:ascii="仿宋_GB2312" w:eastAsia="仿宋_GB2312"/>
          <w:sz w:val="30"/>
          <w:szCs w:val="30"/>
          <w:lang w:val="zh-CN"/>
        </w:rPr>
        <w:t>方可进行交易。</w:t>
      </w:r>
      <w:r>
        <w:rPr>
          <w:rFonts w:ascii="仿宋_GB2312" w:eastAsia="仿宋_GB2312"/>
          <w:sz w:val="30"/>
          <w:szCs w:val="30"/>
        </w:rPr>
        <w:t>申请会员需提供以下有效证件：①加盖单位公章的企业营业执照</w:t>
      </w:r>
      <w:r>
        <w:rPr>
          <w:rFonts w:ascii="仿宋_GB2312" w:eastAsia="仿宋_GB2312"/>
          <w:sz w:val="30"/>
          <w:szCs w:val="30"/>
          <w:lang w:val="zh-CN"/>
        </w:rPr>
        <w:t>复印件，</w:t>
      </w:r>
      <w:r>
        <w:rPr>
          <w:rFonts w:ascii="仿宋_GB2312" w:eastAsia="仿宋_GB2312"/>
          <w:sz w:val="30"/>
          <w:szCs w:val="30"/>
        </w:rPr>
        <w:t>②</w:t>
      </w:r>
      <w:r>
        <w:rPr>
          <w:rFonts w:ascii="仿宋_GB2312" w:eastAsia="仿宋_GB2312"/>
          <w:sz w:val="30"/>
          <w:szCs w:val="30"/>
          <w:lang w:val="zh-CN"/>
        </w:rPr>
        <w:t>法定代表人签字并加盖单位公章的</w:t>
      </w:r>
      <w:r>
        <w:rPr>
          <w:rFonts w:hint="eastAsia" w:ascii="仿宋_GB2312" w:eastAsia="仿宋_GB2312"/>
          <w:sz w:val="30"/>
          <w:szCs w:val="30"/>
        </w:rPr>
        <w:t>“</w:t>
      </w:r>
      <w:r>
        <w:rPr>
          <w:rFonts w:ascii="仿宋_GB2312" w:eastAsia="仿宋_GB2312"/>
          <w:sz w:val="30"/>
          <w:szCs w:val="30"/>
          <w:lang w:val="zh-CN"/>
        </w:rPr>
        <w:t>交易授权书</w:t>
      </w:r>
      <w:r>
        <w:rPr>
          <w:rFonts w:hint="eastAsia" w:ascii="仿宋_GB2312" w:eastAsia="仿宋_GB2312"/>
          <w:sz w:val="30"/>
          <w:szCs w:val="30"/>
        </w:rPr>
        <w:t>”</w:t>
      </w:r>
      <w:r>
        <w:rPr>
          <w:rFonts w:ascii="仿宋_GB2312" w:eastAsia="仿宋_GB2312"/>
          <w:sz w:val="30"/>
          <w:szCs w:val="30"/>
          <w:lang w:val="zh-CN"/>
        </w:rPr>
        <w:t>，</w:t>
      </w:r>
      <w:r>
        <w:rPr>
          <w:rFonts w:ascii="仿宋_GB2312" w:eastAsia="仿宋_GB2312"/>
          <w:sz w:val="30"/>
          <w:szCs w:val="30"/>
        </w:rPr>
        <w:t>③法定代表人身份证复印件和</w:t>
      </w:r>
      <w:r>
        <w:rPr>
          <w:rFonts w:hint="eastAsia" w:ascii="仿宋_GB2312" w:eastAsia="仿宋_GB2312"/>
          <w:sz w:val="30"/>
          <w:szCs w:val="30"/>
        </w:rPr>
        <w:t>“</w:t>
      </w:r>
      <w:r>
        <w:rPr>
          <w:rFonts w:ascii="仿宋_GB2312" w:eastAsia="仿宋_GB2312"/>
          <w:sz w:val="30"/>
          <w:szCs w:val="30"/>
        </w:rPr>
        <w:t>交易授权书</w:t>
      </w:r>
      <w:r>
        <w:rPr>
          <w:rFonts w:hint="eastAsia" w:ascii="仿宋_GB2312" w:eastAsia="仿宋_GB2312"/>
          <w:sz w:val="30"/>
          <w:szCs w:val="30"/>
        </w:rPr>
        <w:t>”</w:t>
      </w:r>
      <w:r>
        <w:rPr>
          <w:rFonts w:ascii="仿宋_GB2312" w:eastAsia="仿宋_GB2312"/>
          <w:sz w:val="30"/>
          <w:szCs w:val="30"/>
        </w:rPr>
        <w:t>明确的交易代表身份证复印件，④交易中心规定的其他资料。</w:t>
      </w:r>
      <w:r>
        <w:rPr>
          <w:rFonts w:ascii="仿宋_GB2312" w:eastAsia="仿宋_GB2312"/>
          <w:sz w:val="30"/>
          <w:szCs w:val="30"/>
          <w:lang w:val="zh-CN"/>
        </w:rPr>
        <w:t>交易中心审验</w:t>
      </w:r>
      <w:r>
        <w:rPr>
          <w:rFonts w:ascii="仿宋_GB2312" w:eastAsia="仿宋_GB2312"/>
          <w:sz w:val="30"/>
          <w:szCs w:val="30"/>
        </w:rPr>
        <w:t>资料后，将</w:t>
      </w:r>
      <w:r>
        <w:rPr>
          <w:rFonts w:ascii="仿宋_GB2312" w:eastAsia="仿宋_GB2312"/>
          <w:sz w:val="30"/>
          <w:szCs w:val="30"/>
          <w:lang w:val="zh-CN"/>
        </w:rPr>
        <w:t>国家粮食电子交易平台</w:t>
      </w:r>
      <w:r>
        <w:rPr>
          <w:rFonts w:ascii="仿宋_GB2312" w:eastAsia="仿宋_GB2312"/>
          <w:sz w:val="30"/>
          <w:szCs w:val="30"/>
        </w:rPr>
        <w:t>用户</w:t>
      </w:r>
      <w:r>
        <w:rPr>
          <w:rFonts w:ascii="仿宋_GB2312" w:eastAsia="仿宋_GB2312"/>
          <w:sz w:val="30"/>
          <w:szCs w:val="30"/>
          <w:lang w:val="zh-CN"/>
        </w:rPr>
        <w:t xml:space="preserve">代码、电子密钥、 </w:t>
      </w:r>
      <w:r>
        <w:rPr>
          <w:rFonts w:ascii="仿宋_GB2312" w:eastAsia="仿宋_GB2312"/>
          <w:sz w:val="30"/>
          <w:szCs w:val="30"/>
        </w:rPr>
        <w:t>交易</w:t>
      </w:r>
      <w:r>
        <w:rPr>
          <w:rFonts w:ascii="仿宋_GB2312" w:eastAsia="仿宋_GB2312"/>
          <w:sz w:val="30"/>
          <w:szCs w:val="30"/>
          <w:lang w:val="zh-CN"/>
        </w:rPr>
        <w:t>密码</w:t>
      </w:r>
      <w:r>
        <w:rPr>
          <w:rFonts w:ascii="仿宋_GB2312" w:eastAsia="仿宋_GB2312"/>
          <w:sz w:val="30"/>
          <w:szCs w:val="30"/>
        </w:rPr>
        <w:t>等相关资料发给交易代表，作为会员参与交易的资格凭证，属</w:t>
      </w:r>
      <w:r>
        <w:rPr>
          <w:rFonts w:ascii="仿宋_GB2312" w:eastAsia="仿宋_GB2312"/>
          <w:sz w:val="30"/>
          <w:szCs w:val="30"/>
          <w:lang w:val="zh-CN"/>
        </w:rPr>
        <w:t>会员</w:t>
      </w:r>
      <w:r>
        <w:rPr>
          <w:rFonts w:ascii="仿宋_GB2312" w:eastAsia="仿宋_GB2312"/>
          <w:sz w:val="30"/>
          <w:szCs w:val="30"/>
        </w:rPr>
        <w:t>的商业机密，须妥善保管。因会员</w:t>
      </w:r>
      <w:r>
        <w:rPr>
          <w:rFonts w:ascii="仿宋_GB2312" w:eastAsia="仿宋_GB2312"/>
          <w:sz w:val="30"/>
          <w:szCs w:val="30"/>
          <w:lang w:val="zh-CN"/>
        </w:rPr>
        <w:t>自身原因导致电子密钥遗失、信息泄露、非交易代表本人使用</w:t>
      </w:r>
      <w:r>
        <w:rPr>
          <w:rFonts w:ascii="仿宋_GB2312" w:eastAsia="仿宋_GB2312"/>
          <w:sz w:val="30"/>
          <w:szCs w:val="30"/>
        </w:rPr>
        <w:t>等情况产生的</w:t>
      </w:r>
      <w:r>
        <w:rPr>
          <w:rFonts w:ascii="仿宋_GB2312" w:eastAsia="仿宋_GB2312"/>
          <w:sz w:val="30"/>
          <w:szCs w:val="30"/>
          <w:lang w:val="zh-CN"/>
        </w:rPr>
        <w:t>任何损失，由会员自行承担。</w:t>
      </w:r>
    </w:p>
    <w:p>
      <w:pPr>
        <w:spacing w:line="594" w:lineRule="exact"/>
        <w:ind w:firstLine="630"/>
        <w:rPr>
          <w:rFonts w:eastAsia="方正仿宋_GBK"/>
          <w:sz w:val="32"/>
          <w:szCs w:val="32"/>
          <w:lang w:val="zh-CN"/>
        </w:rPr>
      </w:pPr>
      <w:r>
        <w:rPr>
          <w:rFonts w:ascii="仿宋_GB2312" w:eastAsia="仿宋_GB2312"/>
          <w:sz w:val="30"/>
          <w:szCs w:val="30"/>
        </w:rPr>
        <w:t>交易</w:t>
      </w:r>
      <w:r>
        <w:rPr>
          <w:rFonts w:ascii="仿宋_GB2312" w:eastAsia="仿宋_GB2312"/>
          <w:sz w:val="30"/>
          <w:szCs w:val="30"/>
          <w:lang w:val="zh-CN"/>
        </w:rPr>
        <w:t>会员资格有效期一年，需要继续保留会员资格的，应当提供当年上述相关资料由交易</w:t>
      </w:r>
      <w:r>
        <w:rPr>
          <w:rFonts w:ascii="仿宋_GB2312" w:eastAsia="仿宋_GB2312"/>
          <w:sz w:val="30"/>
          <w:szCs w:val="30"/>
        </w:rPr>
        <w:t>中心</w:t>
      </w:r>
      <w:r>
        <w:rPr>
          <w:rFonts w:ascii="仿宋_GB2312" w:eastAsia="仿宋_GB2312"/>
          <w:sz w:val="30"/>
          <w:szCs w:val="30"/>
          <w:lang w:val="zh-CN"/>
        </w:rPr>
        <w:t>进行验审。</w:t>
      </w:r>
    </w:p>
    <w:p>
      <w:pPr>
        <w:spacing w:line="594" w:lineRule="exact"/>
        <w:ind w:left="120" w:firstLine="640" w:firstLineChars="200"/>
        <w:rPr>
          <w:rFonts w:ascii="仿宋_GB2312" w:eastAsia="仿宋_GB2312"/>
          <w:sz w:val="30"/>
          <w:szCs w:val="30"/>
        </w:rPr>
      </w:pPr>
      <w:r>
        <w:rPr>
          <w:rFonts w:hAnsi="方正楷体_GBK" w:eastAsia="方正楷体_GBK"/>
          <w:sz w:val="32"/>
          <w:szCs w:val="32"/>
          <w:lang w:val="zh-CN"/>
        </w:rPr>
        <w:t>第</w:t>
      </w:r>
      <w:r>
        <w:rPr>
          <w:rFonts w:hint="eastAsia" w:hAnsi="方正楷体_GBK" w:eastAsia="方正楷体_GBK"/>
          <w:sz w:val="32"/>
          <w:szCs w:val="32"/>
        </w:rPr>
        <w:t>七</w:t>
      </w:r>
      <w:r>
        <w:rPr>
          <w:rFonts w:hAnsi="方正楷体_GBK" w:eastAsia="方正楷体_GBK"/>
          <w:sz w:val="32"/>
          <w:szCs w:val="32"/>
          <w:lang w:val="zh-CN"/>
        </w:rPr>
        <w:t>条</w:t>
      </w:r>
      <w:r>
        <w:rPr>
          <w:rFonts w:hint="eastAsia" w:hAnsi="方正楷体_GBK" w:eastAsia="方正楷体_GBK"/>
          <w:b/>
          <w:bCs/>
          <w:sz w:val="32"/>
          <w:szCs w:val="32"/>
        </w:rPr>
        <w:t xml:space="preserve">   </w:t>
      </w:r>
      <w:r>
        <w:rPr>
          <w:rFonts w:ascii="仿宋_GB2312" w:eastAsia="仿宋_GB2312"/>
          <w:sz w:val="30"/>
          <w:szCs w:val="30"/>
          <w:lang w:val="zh-CN"/>
        </w:rPr>
        <w:t>委托方在正</w:t>
      </w:r>
      <w:r>
        <w:rPr>
          <w:rFonts w:ascii="仿宋_GB2312" w:eastAsia="仿宋_GB2312"/>
          <w:sz w:val="30"/>
          <w:szCs w:val="30"/>
        </w:rPr>
        <w:t>式交易前1个及以上工作日向交易中心提交加盖公章的委托竞价交易清单，</w:t>
      </w:r>
      <w:r>
        <w:rPr>
          <w:rFonts w:hint="eastAsia" w:ascii="仿宋_GB2312" w:eastAsia="仿宋_GB2312"/>
          <w:sz w:val="30"/>
          <w:szCs w:val="30"/>
        </w:rPr>
        <w:t>交易清单应包括实际交提货库点正常日出入库能力、常用出入库方式（公路、铁路、水路）、装车计量能力、有无铁路专用线、码头等项目。委托方要根据自身实际出库能力合理安排竞价批次、标的，确保竞价交易成交后业务正常运行。交易委托方需对所提供标的信息的真实性、完整性以及准确性负责。</w:t>
      </w:r>
      <w:r>
        <w:rPr>
          <w:rFonts w:ascii="仿宋_GB2312" w:eastAsia="仿宋_GB2312"/>
          <w:sz w:val="30"/>
          <w:szCs w:val="30"/>
        </w:rPr>
        <w:t>交易清单加盖</w:t>
      </w:r>
      <w:r>
        <w:rPr>
          <w:rFonts w:hint="eastAsia" w:ascii="仿宋_GB2312" w:eastAsia="仿宋_GB2312"/>
          <w:sz w:val="30"/>
          <w:szCs w:val="30"/>
        </w:rPr>
        <w:t>委托</w:t>
      </w:r>
      <w:r>
        <w:rPr>
          <w:rFonts w:ascii="仿宋_GB2312" w:eastAsia="仿宋_GB2312"/>
          <w:sz w:val="30"/>
          <w:szCs w:val="30"/>
        </w:rPr>
        <w:t>单位公章后可采取邮寄、扫描、发电子邮箱等方式提供给交易中心。交易中心按照</w:t>
      </w:r>
      <w:r>
        <w:rPr>
          <w:rFonts w:hint="eastAsia" w:ascii="仿宋_GB2312" w:eastAsia="仿宋_GB2312"/>
          <w:sz w:val="30"/>
          <w:szCs w:val="30"/>
        </w:rPr>
        <w:t>委托</w:t>
      </w:r>
      <w:r>
        <w:rPr>
          <w:rFonts w:ascii="仿宋_GB2312" w:eastAsia="仿宋_GB2312"/>
          <w:sz w:val="30"/>
          <w:szCs w:val="30"/>
        </w:rPr>
        <w:t>方提供的交易时间，合理安排网上交易。</w:t>
      </w:r>
    </w:p>
    <w:p>
      <w:pPr>
        <w:spacing w:line="594" w:lineRule="exact"/>
        <w:ind w:left="120" w:firstLine="640" w:firstLineChars="200"/>
        <w:rPr>
          <w:rFonts w:ascii="仿宋_GB2312" w:eastAsia="仿宋_GB2312"/>
          <w:sz w:val="30"/>
          <w:szCs w:val="30"/>
        </w:rPr>
      </w:pPr>
      <w:r>
        <w:rPr>
          <w:rFonts w:hAnsi="方正楷体_GBK" w:eastAsia="方正楷体_GBK"/>
          <w:sz w:val="32"/>
          <w:szCs w:val="32"/>
          <w:lang w:val="zh-CN"/>
        </w:rPr>
        <w:t>第</w:t>
      </w:r>
      <w:r>
        <w:rPr>
          <w:rFonts w:hint="eastAsia" w:hAnsi="方正楷体_GBK" w:eastAsia="方正楷体_GBK"/>
          <w:sz w:val="32"/>
          <w:szCs w:val="32"/>
        </w:rPr>
        <w:t>八</w:t>
      </w:r>
      <w:r>
        <w:rPr>
          <w:rFonts w:hAnsi="方正楷体_GBK" w:eastAsia="方正楷体_GBK"/>
          <w:sz w:val="32"/>
          <w:szCs w:val="32"/>
          <w:lang w:val="zh-CN"/>
        </w:rPr>
        <w:t>条</w:t>
      </w:r>
      <w:r>
        <w:rPr>
          <w:rFonts w:hint="eastAsia" w:hAnsi="方正楷体_GBK" w:eastAsia="方正楷体_GBK"/>
          <w:sz w:val="32"/>
          <w:szCs w:val="32"/>
        </w:rPr>
        <w:t xml:space="preserve"> </w:t>
      </w:r>
      <w:r>
        <w:rPr>
          <w:rFonts w:ascii="仿宋_GB2312" w:eastAsia="仿宋_GB2312"/>
          <w:sz w:val="30"/>
          <w:szCs w:val="30"/>
        </w:rPr>
        <w:t>交易中心收到委托</w:t>
      </w:r>
      <w:r>
        <w:rPr>
          <w:rFonts w:hint="eastAsia" w:ascii="仿宋_GB2312" w:eastAsia="仿宋_GB2312"/>
          <w:sz w:val="30"/>
          <w:szCs w:val="30"/>
        </w:rPr>
        <w:t>方的</w:t>
      </w:r>
      <w:r>
        <w:rPr>
          <w:rFonts w:ascii="仿宋_GB2312" w:eastAsia="仿宋_GB2312"/>
          <w:sz w:val="30"/>
          <w:szCs w:val="30"/>
        </w:rPr>
        <w:t>交易清单后当日，编制《菜籽油轮换购销双向竞价交易会公告》（以下简称</w:t>
      </w:r>
      <w:r>
        <w:rPr>
          <w:rFonts w:ascii="仿宋_GB2312" w:eastAsia="仿宋_GB2312"/>
          <w:sz w:val="30"/>
          <w:szCs w:val="30"/>
          <w:lang w:val="zh-CN"/>
        </w:rPr>
        <w:t>《交易公告》</w:t>
      </w:r>
      <w:r>
        <w:rPr>
          <w:rFonts w:ascii="仿宋_GB2312" w:eastAsia="仿宋_GB2312"/>
          <w:sz w:val="30"/>
          <w:szCs w:val="30"/>
        </w:rPr>
        <w:t xml:space="preserve">）并及时在 </w:t>
      </w:r>
      <w:r>
        <w:rPr>
          <w:rFonts w:hint="eastAsia" w:ascii="仿宋_GB2312" w:eastAsia="仿宋_GB2312"/>
          <w:sz w:val="30"/>
          <w:szCs w:val="30"/>
        </w:rPr>
        <w:t>“</w:t>
      </w:r>
      <w:r>
        <w:rPr>
          <w:rFonts w:ascii="仿宋_GB2312" w:eastAsia="仿宋_GB2312"/>
          <w:sz w:val="30"/>
          <w:szCs w:val="30"/>
        </w:rPr>
        <w:t>重庆粮网”（ www.grainmarket.com.cn/centerweb/region/CQ）、</w:t>
      </w:r>
      <w:r>
        <w:rPr>
          <w:rFonts w:hint="eastAsia" w:ascii="仿宋_GB2312" w:eastAsia="仿宋_GB2312"/>
          <w:sz w:val="30"/>
          <w:szCs w:val="30"/>
        </w:rPr>
        <w:t>“</w:t>
      </w:r>
      <w:r>
        <w:rPr>
          <w:rFonts w:ascii="仿宋_GB2312" w:eastAsia="仿宋_GB2312"/>
          <w:sz w:val="30"/>
          <w:szCs w:val="30"/>
        </w:rPr>
        <w:t>重庆粮食集团</w:t>
      </w:r>
      <w:r>
        <w:rPr>
          <w:rFonts w:hint="eastAsia" w:ascii="仿宋_GB2312" w:eastAsia="仿宋_GB2312"/>
          <w:sz w:val="30"/>
          <w:szCs w:val="30"/>
        </w:rPr>
        <w:t>”</w:t>
      </w:r>
      <w:r>
        <w:rPr>
          <w:rFonts w:ascii="仿宋_GB2312" w:eastAsia="仿宋_GB2312"/>
          <w:sz w:val="30"/>
          <w:szCs w:val="30"/>
        </w:rPr>
        <w:t>官网（www.cqgrain.com）和微信公众号等媒体发布</w:t>
      </w:r>
      <w:r>
        <w:rPr>
          <w:rFonts w:ascii="仿宋_GB2312" w:eastAsia="仿宋_GB2312"/>
          <w:sz w:val="30"/>
          <w:szCs w:val="30"/>
          <w:lang w:val="zh-CN"/>
        </w:rPr>
        <w:t>《交易公告》</w:t>
      </w:r>
      <w:r>
        <w:rPr>
          <w:rFonts w:ascii="仿宋_GB2312" w:eastAsia="仿宋_GB2312"/>
          <w:sz w:val="30"/>
          <w:szCs w:val="30"/>
        </w:rPr>
        <w:t>、</w:t>
      </w:r>
      <w:r>
        <w:rPr>
          <w:rFonts w:ascii="仿宋_GB2312" w:eastAsia="仿宋_GB2312"/>
          <w:sz w:val="30"/>
          <w:szCs w:val="30"/>
          <w:lang w:val="zh-CN"/>
        </w:rPr>
        <w:t>交易</w:t>
      </w:r>
      <w:r>
        <w:rPr>
          <w:rFonts w:ascii="仿宋_GB2312" w:eastAsia="仿宋_GB2312"/>
          <w:sz w:val="30"/>
          <w:szCs w:val="30"/>
        </w:rPr>
        <w:t>清单等交易信息。</w:t>
      </w:r>
    </w:p>
    <w:p>
      <w:pPr>
        <w:autoSpaceDE w:val="0"/>
        <w:autoSpaceDN w:val="0"/>
        <w:spacing w:line="594" w:lineRule="exact"/>
        <w:ind w:firstLine="640" w:firstLineChars="200"/>
        <w:rPr>
          <w:rFonts w:ascii="仿宋_GB2312" w:eastAsia="仿宋_GB2312"/>
          <w:sz w:val="30"/>
          <w:szCs w:val="30"/>
        </w:rPr>
      </w:pPr>
      <w:r>
        <w:rPr>
          <w:rFonts w:hAnsi="方正楷体_GBK" w:eastAsia="方正楷体_GBK"/>
          <w:sz w:val="32"/>
          <w:szCs w:val="32"/>
          <w:lang w:val="zh-CN"/>
        </w:rPr>
        <w:t>第</w:t>
      </w:r>
      <w:r>
        <w:rPr>
          <w:rFonts w:hint="eastAsia" w:hAnsi="方正楷体_GBK" w:eastAsia="方正楷体_GBK"/>
          <w:sz w:val="32"/>
          <w:szCs w:val="32"/>
        </w:rPr>
        <w:t>九</w:t>
      </w:r>
      <w:r>
        <w:rPr>
          <w:rFonts w:hAnsi="方正楷体_GBK" w:eastAsia="方正楷体_GBK"/>
          <w:sz w:val="32"/>
          <w:szCs w:val="32"/>
          <w:lang w:val="zh-CN"/>
        </w:rPr>
        <w:t>条</w:t>
      </w:r>
      <w:r>
        <w:rPr>
          <w:rFonts w:hint="eastAsia" w:hAnsi="方正楷体_GBK" w:eastAsia="方正楷体_GBK"/>
          <w:b/>
          <w:bCs/>
          <w:sz w:val="32"/>
          <w:szCs w:val="32"/>
        </w:rPr>
        <w:t xml:space="preserve"> </w:t>
      </w:r>
      <w:r>
        <w:rPr>
          <w:rFonts w:hint="eastAsia" w:ascii="仿宋_GB2312" w:eastAsia="仿宋_GB2312"/>
          <w:sz w:val="30"/>
          <w:szCs w:val="30"/>
        </w:rPr>
        <w:t>参与交易的</w:t>
      </w:r>
      <w:r>
        <w:rPr>
          <w:rFonts w:hint="eastAsia" w:ascii="仿宋_GB2312" w:eastAsia="仿宋_GB2312"/>
          <w:sz w:val="30"/>
          <w:szCs w:val="30"/>
          <w:lang w:val="zh-CN"/>
        </w:rPr>
        <w:t>会员</w:t>
      </w:r>
      <w:r>
        <w:rPr>
          <w:rFonts w:hint="eastAsia" w:ascii="仿宋_GB2312" w:eastAsia="仿宋_GB2312"/>
          <w:sz w:val="30"/>
          <w:szCs w:val="30"/>
        </w:rPr>
        <w:t>可到交易中心或登录</w:t>
      </w:r>
      <w:r>
        <w:rPr>
          <w:rFonts w:ascii="仿宋_GB2312" w:eastAsia="仿宋_GB2312"/>
          <w:sz w:val="30"/>
          <w:szCs w:val="30"/>
        </w:rPr>
        <w:t>“重庆粮网</w:t>
      </w:r>
      <w:r>
        <w:rPr>
          <w:rFonts w:hint="eastAsia" w:ascii="仿宋_GB2312" w:eastAsia="仿宋_GB2312"/>
          <w:sz w:val="30"/>
          <w:szCs w:val="30"/>
        </w:rPr>
        <w:t>”、重庆粮食集团”官网等了解网上交易的有关事项和信息</w:t>
      </w:r>
      <w:r>
        <w:rPr>
          <w:rFonts w:ascii="仿宋_GB2312" w:eastAsia="仿宋_GB2312"/>
          <w:sz w:val="30"/>
          <w:szCs w:val="30"/>
        </w:rPr>
        <w:t>，正确理解相关约定和要求</w:t>
      </w:r>
      <w:r>
        <w:rPr>
          <w:rFonts w:hint="eastAsia" w:ascii="仿宋_GB2312" w:eastAsia="仿宋_GB2312"/>
          <w:sz w:val="30"/>
          <w:szCs w:val="30"/>
        </w:rPr>
        <w:t>，双方当事人参与交易的，均视为已经知悉并清楚理解相关约定和要求，并予以接受。</w:t>
      </w:r>
    </w:p>
    <w:p>
      <w:pPr>
        <w:autoSpaceDE w:val="0"/>
        <w:autoSpaceDN w:val="0"/>
        <w:spacing w:line="594" w:lineRule="exact"/>
        <w:ind w:firstLine="640" w:firstLineChars="200"/>
        <w:rPr>
          <w:rFonts w:ascii="仿宋_GB2312" w:eastAsia="仿宋_GB2312"/>
          <w:sz w:val="30"/>
          <w:szCs w:val="30"/>
          <w:lang w:val="zh-CN"/>
        </w:rPr>
      </w:pPr>
      <w:r>
        <w:rPr>
          <w:rFonts w:hAnsi="方正楷体_GBK" w:eastAsia="方正楷体_GBK"/>
          <w:sz w:val="32"/>
          <w:szCs w:val="32"/>
          <w:lang w:val="zh-CN"/>
        </w:rPr>
        <w:t>第</w:t>
      </w:r>
      <w:r>
        <w:rPr>
          <w:rFonts w:hint="eastAsia" w:hAnsi="方正楷体_GBK" w:eastAsia="方正楷体_GBK"/>
          <w:sz w:val="32"/>
          <w:szCs w:val="32"/>
        </w:rPr>
        <w:t>十</w:t>
      </w:r>
      <w:r>
        <w:rPr>
          <w:rFonts w:hAnsi="方正楷体_GBK" w:eastAsia="方正楷体_GBK"/>
          <w:sz w:val="32"/>
          <w:szCs w:val="32"/>
          <w:lang w:val="zh-CN"/>
        </w:rPr>
        <w:t>条</w:t>
      </w:r>
      <w:r>
        <w:rPr>
          <w:rFonts w:hint="eastAsia" w:hAnsi="方正楷体_GBK" w:eastAsia="方正楷体_GBK"/>
          <w:b/>
          <w:bCs/>
          <w:sz w:val="32"/>
          <w:szCs w:val="32"/>
        </w:rPr>
        <w:t xml:space="preserve"> </w:t>
      </w:r>
      <w:r>
        <w:rPr>
          <w:rStyle w:val="12"/>
          <w:rFonts w:hint="eastAsia" w:hAnsi="方正仿宋_GBK" w:eastAsia="方正仿宋_GBK"/>
          <w:b w:val="0"/>
          <w:sz w:val="32"/>
          <w:szCs w:val="32"/>
        </w:rPr>
        <w:t>有</w:t>
      </w:r>
      <w:r>
        <w:rPr>
          <w:rFonts w:hint="eastAsia" w:ascii="仿宋_GB2312" w:eastAsia="仿宋_GB2312"/>
          <w:sz w:val="30"/>
          <w:szCs w:val="30"/>
        </w:rPr>
        <w:t>意向参与交易的会员</w:t>
      </w:r>
      <w:r>
        <w:rPr>
          <w:rFonts w:hint="eastAsia" w:ascii="仿宋_GB2312" w:eastAsia="仿宋_GB2312"/>
          <w:sz w:val="30"/>
          <w:szCs w:val="30"/>
          <w:lang w:val="zh-CN"/>
        </w:rPr>
        <w:t>可向交易中心申请开具《粮油竞价交易看样单》，提前实地查看实物质量。参与竞价交易的会员（无论是否提前看样），均</w:t>
      </w:r>
      <w:r>
        <w:rPr>
          <w:rFonts w:hint="eastAsia" w:ascii="仿宋_GB2312" w:eastAsia="仿宋_GB2312"/>
          <w:sz w:val="30"/>
          <w:szCs w:val="30"/>
        </w:rPr>
        <w:t>视同</w:t>
      </w:r>
      <w:r>
        <w:rPr>
          <w:rFonts w:hint="eastAsia" w:ascii="仿宋_GB2312" w:eastAsia="仿宋_GB2312"/>
          <w:sz w:val="30"/>
          <w:szCs w:val="30"/>
          <w:lang w:val="zh-CN"/>
        </w:rPr>
        <w:t>认可公示标的质量，成交后不再对质量提出异议或以粮</w:t>
      </w:r>
      <w:r>
        <w:rPr>
          <w:rFonts w:hint="eastAsia" w:ascii="仿宋_GB2312" w:eastAsia="仿宋_GB2312"/>
          <w:sz w:val="30"/>
          <w:szCs w:val="30"/>
        </w:rPr>
        <w:t>油</w:t>
      </w:r>
      <w:r>
        <w:rPr>
          <w:rFonts w:hint="eastAsia" w:ascii="仿宋_GB2312" w:eastAsia="仿宋_GB2312"/>
          <w:sz w:val="30"/>
          <w:szCs w:val="30"/>
          <w:lang w:val="zh-CN"/>
        </w:rPr>
        <w:t>质量为由拒不履约。</w:t>
      </w:r>
    </w:p>
    <w:p>
      <w:pPr>
        <w:spacing w:line="594" w:lineRule="exact"/>
        <w:ind w:firstLine="630"/>
        <w:rPr>
          <w:rFonts w:ascii="仿宋_GB2312" w:eastAsia="仿宋_GB2312"/>
          <w:sz w:val="30"/>
          <w:szCs w:val="30"/>
          <w:lang w:val="zh-CN"/>
        </w:rPr>
      </w:pPr>
      <w:r>
        <w:rPr>
          <w:rFonts w:hAnsi="方正楷体_GBK" w:eastAsia="方正楷体_GBK"/>
          <w:sz w:val="32"/>
          <w:szCs w:val="32"/>
          <w:lang w:val="zh-CN"/>
        </w:rPr>
        <w:t>第</w:t>
      </w:r>
      <w:r>
        <w:rPr>
          <w:rFonts w:hint="eastAsia" w:hAnsi="方正楷体_GBK" w:eastAsia="方正楷体_GBK"/>
          <w:sz w:val="32"/>
          <w:szCs w:val="32"/>
        </w:rPr>
        <w:t>十一</w:t>
      </w:r>
      <w:r>
        <w:rPr>
          <w:rFonts w:hAnsi="方正楷体_GBK" w:eastAsia="方正楷体_GBK"/>
          <w:sz w:val="32"/>
          <w:szCs w:val="32"/>
          <w:lang w:val="zh-CN"/>
        </w:rPr>
        <w:t>条</w:t>
      </w:r>
      <w:r>
        <w:rPr>
          <w:rFonts w:ascii="宋体" w:hAnsi="宋体" w:cs="宋体"/>
          <w:sz w:val="24"/>
        </w:rPr>
        <w:t xml:space="preserve"> </w:t>
      </w:r>
      <w:r>
        <w:rPr>
          <w:rFonts w:hint="eastAsia" w:ascii="宋体" w:hAnsi="宋体" w:cs="宋体"/>
          <w:sz w:val="24"/>
        </w:rPr>
        <w:t xml:space="preserve"> </w:t>
      </w:r>
      <w:r>
        <w:rPr>
          <w:rFonts w:hint="eastAsia" w:ascii="仿宋_GB2312" w:eastAsia="仿宋_GB2312"/>
          <w:sz w:val="30"/>
          <w:szCs w:val="30"/>
        </w:rPr>
        <w:t>有意向参与交易的会员</w:t>
      </w:r>
      <w:r>
        <w:rPr>
          <w:rFonts w:hint="eastAsia" w:ascii="仿宋_GB2312" w:eastAsia="仿宋_GB2312"/>
          <w:sz w:val="30"/>
          <w:szCs w:val="30"/>
          <w:lang w:val="zh-CN"/>
        </w:rPr>
        <w:t>须在竞价交易会前，根据所需竞价交易的数量，按照《交易公告》的要求，向</w:t>
      </w:r>
      <w:r>
        <w:rPr>
          <w:rFonts w:hint="eastAsia" w:ascii="仿宋_GB2312" w:eastAsia="仿宋_GB2312"/>
          <w:sz w:val="30"/>
          <w:szCs w:val="30"/>
        </w:rPr>
        <w:t>交易中心</w:t>
      </w:r>
      <w:r>
        <w:rPr>
          <w:rFonts w:hint="eastAsia" w:ascii="仿宋_GB2312" w:eastAsia="仿宋_GB2312"/>
          <w:sz w:val="30"/>
          <w:szCs w:val="30"/>
          <w:lang w:val="zh-CN"/>
        </w:rPr>
        <w:t>指定的银行账户预交相应数额的交易保证金和履约保证金，</w:t>
      </w:r>
      <w:r>
        <w:rPr>
          <w:rFonts w:hint="eastAsia" w:ascii="仿宋_GB2312" w:eastAsia="仿宋_GB2312"/>
          <w:sz w:val="30"/>
          <w:szCs w:val="30"/>
        </w:rPr>
        <w:t>交易中心确认</w:t>
      </w:r>
      <w:r>
        <w:rPr>
          <w:rFonts w:hint="eastAsia" w:ascii="仿宋_GB2312" w:eastAsia="仿宋_GB2312"/>
          <w:sz w:val="30"/>
          <w:szCs w:val="30"/>
          <w:lang w:val="zh-CN"/>
        </w:rPr>
        <w:t>交易保证金和履约保证金到账</w:t>
      </w:r>
      <w:r>
        <w:rPr>
          <w:rFonts w:hint="eastAsia" w:ascii="仿宋_GB2312" w:eastAsia="仿宋_GB2312"/>
          <w:sz w:val="30"/>
          <w:szCs w:val="30"/>
        </w:rPr>
        <w:t>后，会员报名成功</w:t>
      </w:r>
      <w:r>
        <w:rPr>
          <w:rFonts w:hint="eastAsia" w:ascii="仿宋_GB2312" w:eastAsia="仿宋_GB2312"/>
          <w:sz w:val="30"/>
          <w:szCs w:val="30"/>
          <w:lang w:val="zh-CN"/>
        </w:rPr>
        <w:t>。</w:t>
      </w:r>
    </w:p>
    <w:p>
      <w:pPr>
        <w:spacing w:line="594" w:lineRule="exact"/>
        <w:ind w:firstLine="630"/>
        <w:rPr>
          <w:rFonts w:eastAsia="方正仿宋_GBK"/>
          <w:sz w:val="32"/>
          <w:szCs w:val="32"/>
          <w:lang w:val="zh-CN"/>
        </w:rPr>
      </w:pPr>
    </w:p>
    <w:p>
      <w:pPr>
        <w:pStyle w:val="8"/>
        <w:numPr>
          <w:ilvl w:val="0"/>
          <w:numId w:val="1"/>
        </w:numPr>
        <w:spacing w:beforeAutospacing="0" w:afterAutospacing="0" w:line="594" w:lineRule="exact"/>
        <w:jc w:val="center"/>
        <w:rPr>
          <w:rStyle w:val="12"/>
          <w:rFonts w:ascii="方正黑体_GBK" w:hAnsi="方正黑体_GBK" w:eastAsia="方正黑体_GBK" w:cs="方正黑体_GBK"/>
          <w:b w:val="0"/>
          <w:bCs/>
          <w:sz w:val="32"/>
          <w:szCs w:val="32"/>
        </w:rPr>
      </w:pPr>
      <w:r>
        <w:rPr>
          <w:rStyle w:val="12"/>
          <w:rFonts w:hint="eastAsia" w:ascii="方正黑体_GBK" w:hAnsi="方正黑体_GBK" w:eastAsia="方正黑体_GBK" w:cs="方正黑体_GBK"/>
          <w:b w:val="0"/>
          <w:bCs/>
          <w:sz w:val="32"/>
          <w:szCs w:val="32"/>
        </w:rPr>
        <w:t>   交易地点和时间</w:t>
      </w:r>
    </w:p>
    <w:p>
      <w:pPr>
        <w:pStyle w:val="8"/>
        <w:spacing w:beforeAutospacing="0" w:afterAutospacing="0" w:line="594" w:lineRule="exact"/>
        <w:rPr>
          <w:rStyle w:val="12"/>
          <w:rFonts w:hAnsi="方正黑体_GBK" w:eastAsia="方正黑体_GBK"/>
          <w:sz w:val="32"/>
          <w:szCs w:val="32"/>
        </w:rPr>
      </w:pPr>
    </w:p>
    <w:p>
      <w:pPr>
        <w:autoSpaceDE w:val="0"/>
        <w:autoSpaceDN w:val="0"/>
        <w:spacing w:line="594" w:lineRule="exact"/>
        <w:ind w:firstLine="640" w:firstLineChars="200"/>
        <w:rPr>
          <w:rStyle w:val="12"/>
          <w:rFonts w:eastAsia="方正仿宋_GBK"/>
          <w:b w:val="0"/>
          <w:sz w:val="32"/>
          <w:szCs w:val="32"/>
        </w:rPr>
      </w:pPr>
      <w:r>
        <w:rPr>
          <w:rStyle w:val="12"/>
          <w:rFonts w:hAnsi="方正楷体_GBK" w:eastAsia="方正楷体_GBK"/>
          <w:b w:val="0"/>
          <w:sz w:val="32"/>
          <w:szCs w:val="32"/>
        </w:rPr>
        <w:t>第</w:t>
      </w:r>
      <w:r>
        <w:rPr>
          <w:rStyle w:val="12"/>
          <w:rFonts w:hint="eastAsia" w:hAnsi="方正楷体_GBK" w:eastAsia="方正楷体_GBK"/>
          <w:b w:val="0"/>
          <w:sz w:val="32"/>
          <w:szCs w:val="32"/>
        </w:rPr>
        <w:t>十二</w:t>
      </w:r>
      <w:r>
        <w:rPr>
          <w:rStyle w:val="12"/>
          <w:rFonts w:hAnsi="方正楷体_GBK" w:eastAsia="方正楷体_GBK"/>
          <w:b w:val="0"/>
          <w:sz w:val="32"/>
          <w:szCs w:val="32"/>
        </w:rPr>
        <w:t>条</w:t>
      </w:r>
      <w:r>
        <w:rPr>
          <w:rStyle w:val="12"/>
          <w:rFonts w:hint="eastAsia" w:hAnsi="方正楷体_GBK" w:eastAsia="方正楷体_GBK"/>
          <w:b w:val="0"/>
          <w:sz w:val="32"/>
          <w:szCs w:val="32"/>
        </w:rPr>
        <w:t xml:space="preserve"> </w:t>
      </w:r>
      <w:r>
        <w:rPr>
          <w:rStyle w:val="12"/>
          <w:rFonts w:hint="eastAsia" w:hAnsi="方正楷体_GBK" w:eastAsia="方正楷体_GBK"/>
          <w:bCs/>
          <w:sz w:val="32"/>
          <w:szCs w:val="32"/>
        </w:rPr>
        <w:t xml:space="preserve"> </w:t>
      </w:r>
      <w:r>
        <w:rPr>
          <w:rFonts w:hint="eastAsia" w:ascii="仿宋_GB2312" w:eastAsia="仿宋_GB2312"/>
          <w:sz w:val="30"/>
          <w:szCs w:val="30"/>
          <w:lang w:val="zh-CN"/>
        </w:rPr>
        <w:t>交易</w:t>
      </w:r>
      <w:r>
        <w:rPr>
          <w:rFonts w:hint="eastAsia" w:ascii="仿宋_GB2312" w:eastAsia="仿宋_GB2312"/>
          <w:sz w:val="30"/>
          <w:szCs w:val="30"/>
        </w:rPr>
        <w:t>时间根据公告确定交易日。</w:t>
      </w:r>
    </w:p>
    <w:p>
      <w:pPr>
        <w:autoSpaceDE w:val="0"/>
        <w:autoSpaceDN w:val="0"/>
        <w:spacing w:line="594" w:lineRule="exact"/>
        <w:ind w:firstLine="640" w:firstLineChars="200"/>
        <w:rPr>
          <w:rFonts w:ascii="仿宋_GB2312" w:eastAsia="仿宋_GB2312"/>
          <w:sz w:val="30"/>
          <w:szCs w:val="30"/>
          <w:lang w:val="zh-CN"/>
        </w:rPr>
      </w:pPr>
      <w:r>
        <w:rPr>
          <w:rStyle w:val="12"/>
          <w:rFonts w:hAnsi="方正楷体_GBK" w:eastAsia="方正楷体_GBK"/>
          <w:b w:val="0"/>
          <w:sz w:val="32"/>
          <w:szCs w:val="32"/>
        </w:rPr>
        <w:t>第</w:t>
      </w:r>
      <w:r>
        <w:rPr>
          <w:rStyle w:val="12"/>
          <w:rFonts w:hint="eastAsia" w:hAnsi="方正楷体_GBK" w:eastAsia="方正楷体_GBK"/>
          <w:b w:val="0"/>
          <w:sz w:val="32"/>
          <w:szCs w:val="32"/>
        </w:rPr>
        <w:t>十三</w:t>
      </w:r>
      <w:r>
        <w:rPr>
          <w:rStyle w:val="12"/>
          <w:rFonts w:hAnsi="方正楷体_GBK" w:eastAsia="方正楷体_GBK"/>
          <w:b w:val="0"/>
          <w:sz w:val="32"/>
          <w:szCs w:val="32"/>
        </w:rPr>
        <w:t>条</w:t>
      </w:r>
      <w:r>
        <w:rPr>
          <w:rStyle w:val="12"/>
          <w:rFonts w:hint="eastAsia" w:hAnsi="方正楷体_GBK" w:eastAsia="方正楷体_GBK"/>
          <w:bCs/>
          <w:sz w:val="32"/>
          <w:szCs w:val="32"/>
        </w:rPr>
        <w:t xml:space="preserve"> </w:t>
      </w:r>
      <w:r>
        <w:rPr>
          <w:rFonts w:hint="eastAsia" w:ascii="仿宋_GB2312" w:eastAsia="仿宋_GB2312"/>
          <w:sz w:val="30"/>
          <w:szCs w:val="30"/>
          <w:lang w:val="zh-CN"/>
        </w:rPr>
        <w:t>因公共网络故障等不可抗力造成交易中断的，交易中心有权取消、推迟或暂停交易。</w:t>
      </w:r>
      <w:r>
        <w:rPr>
          <w:rFonts w:hint="eastAsia" w:ascii="仿宋_GB2312" w:eastAsia="仿宋_GB2312"/>
          <w:sz w:val="30"/>
          <w:szCs w:val="30"/>
        </w:rPr>
        <w:t>会员</w:t>
      </w:r>
      <w:r>
        <w:rPr>
          <w:rFonts w:hint="eastAsia" w:ascii="仿宋_GB2312" w:eastAsia="仿宋_GB2312"/>
          <w:sz w:val="30"/>
          <w:szCs w:val="30"/>
          <w:lang w:val="zh-CN"/>
        </w:rPr>
        <w:t>因自身终端设备等原因不能正常交易的，不影响竞价交易的正常进行。</w:t>
      </w:r>
    </w:p>
    <w:p>
      <w:pPr>
        <w:autoSpaceDE w:val="0"/>
        <w:autoSpaceDN w:val="0"/>
        <w:spacing w:line="594" w:lineRule="exact"/>
        <w:ind w:firstLine="640" w:firstLineChars="200"/>
        <w:rPr>
          <w:rFonts w:ascii="仿宋_GB2312" w:eastAsia="仿宋_GB2312"/>
          <w:sz w:val="30"/>
          <w:szCs w:val="30"/>
        </w:rPr>
      </w:pPr>
      <w:r>
        <w:rPr>
          <w:rStyle w:val="12"/>
          <w:rFonts w:hAnsi="方正楷体_GBK" w:eastAsia="方正楷体_GBK"/>
          <w:b w:val="0"/>
          <w:sz w:val="32"/>
          <w:szCs w:val="32"/>
        </w:rPr>
        <w:t>第</w:t>
      </w:r>
      <w:r>
        <w:rPr>
          <w:rStyle w:val="12"/>
          <w:rFonts w:hint="eastAsia" w:hAnsi="方正楷体_GBK" w:eastAsia="方正楷体_GBK"/>
          <w:b w:val="0"/>
          <w:sz w:val="32"/>
          <w:szCs w:val="32"/>
        </w:rPr>
        <w:t>十四</w:t>
      </w:r>
      <w:r>
        <w:rPr>
          <w:rStyle w:val="12"/>
          <w:rFonts w:hAnsi="方正楷体_GBK" w:eastAsia="方正楷体_GBK"/>
          <w:b w:val="0"/>
          <w:sz w:val="32"/>
          <w:szCs w:val="32"/>
        </w:rPr>
        <w:t>条</w:t>
      </w:r>
      <w:r>
        <w:rPr>
          <w:rStyle w:val="12"/>
          <w:rFonts w:hint="eastAsia" w:hAnsi="方正楷体_GBK" w:eastAsia="方正楷体_GBK"/>
          <w:bCs/>
          <w:sz w:val="32"/>
          <w:szCs w:val="32"/>
        </w:rPr>
        <w:t xml:space="preserve">  </w:t>
      </w:r>
      <w:r>
        <w:rPr>
          <w:rFonts w:hint="eastAsia" w:ascii="仿宋_GB2312" w:eastAsia="仿宋_GB2312"/>
          <w:sz w:val="30"/>
          <w:szCs w:val="30"/>
          <w:lang w:val="zh-CN"/>
        </w:rPr>
        <w:t>交易地点：</w:t>
      </w:r>
      <w:r>
        <w:rPr>
          <w:rFonts w:hint="eastAsia" w:ascii="仿宋_GB2312" w:eastAsia="仿宋_GB2312"/>
          <w:sz w:val="30"/>
          <w:szCs w:val="30"/>
        </w:rPr>
        <w:t>国家粮食重庆交易中心。</w:t>
      </w:r>
    </w:p>
    <w:p>
      <w:pPr>
        <w:autoSpaceDE w:val="0"/>
        <w:autoSpaceDN w:val="0"/>
        <w:spacing w:line="594" w:lineRule="exact"/>
        <w:ind w:firstLine="640" w:firstLineChars="200"/>
        <w:rPr>
          <w:rFonts w:ascii="仿宋_GB2312" w:eastAsia="仿宋_GB2312"/>
          <w:sz w:val="30"/>
          <w:szCs w:val="30"/>
          <w:lang w:val="zh-CN"/>
        </w:rPr>
      </w:pPr>
      <w:r>
        <w:rPr>
          <w:rStyle w:val="12"/>
          <w:rFonts w:hAnsi="方正楷体_GBK" w:eastAsia="方正楷体_GBK"/>
          <w:b w:val="0"/>
          <w:sz w:val="32"/>
          <w:szCs w:val="32"/>
        </w:rPr>
        <w:t>第</w:t>
      </w:r>
      <w:r>
        <w:rPr>
          <w:rStyle w:val="12"/>
          <w:rFonts w:hint="eastAsia" w:hAnsi="方正楷体_GBK" w:eastAsia="方正楷体_GBK"/>
          <w:b w:val="0"/>
          <w:sz w:val="32"/>
          <w:szCs w:val="32"/>
        </w:rPr>
        <w:t>十五</w:t>
      </w:r>
      <w:r>
        <w:rPr>
          <w:rStyle w:val="12"/>
          <w:rFonts w:hAnsi="方正楷体_GBK" w:eastAsia="方正楷体_GBK"/>
          <w:b w:val="0"/>
          <w:sz w:val="32"/>
          <w:szCs w:val="32"/>
        </w:rPr>
        <w:t>条</w:t>
      </w:r>
      <w:r>
        <w:rPr>
          <w:rStyle w:val="12"/>
          <w:rFonts w:hint="eastAsia" w:hAnsi="方正楷体_GBK" w:eastAsia="方正楷体_GBK"/>
          <w:b w:val="0"/>
          <w:sz w:val="32"/>
          <w:szCs w:val="32"/>
        </w:rPr>
        <w:t xml:space="preserve"> </w:t>
      </w:r>
      <w:r>
        <w:rPr>
          <w:rStyle w:val="12"/>
          <w:rFonts w:hint="eastAsia" w:hAnsi="方正楷体_GBK" w:eastAsia="方正楷体_GBK"/>
          <w:bCs/>
          <w:sz w:val="32"/>
          <w:szCs w:val="32"/>
        </w:rPr>
        <w:t xml:space="preserve"> </w:t>
      </w:r>
      <w:r>
        <w:rPr>
          <w:rFonts w:hint="eastAsia" w:ascii="仿宋_GB2312" w:eastAsia="仿宋_GB2312"/>
          <w:sz w:val="30"/>
          <w:szCs w:val="30"/>
          <w:lang w:val="zh-CN"/>
        </w:rPr>
        <w:t>交易时间、地点如临时有变更，交易中心将提前公告。</w:t>
      </w:r>
    </w:p>
    <w:p>
      <w:pPr>
        <w:autoSpaceDE w:val="0"/>
        <w:autoSpaceDN w:val="0"/>
        <w:spacing w:line="594" w:lineRule="exact"/>
        <w:ind w:firstLine="640" w:firstLineChars="200"/>
        <w:rPr>
          <w:rStyle w:val="12"/>
          <w:rFonts w:eastAsia="方正仿宋_GBK"/>
          <w:b w:val="0"/>
          <w:sz w:val="32"/>
          <w:szCs w:val="32"/>
          <w:lang w:val="zh-CN"/>
        </w:rPr>
      </w:pPr>
    </w:p>
    <w:p>
      <w:pPr>
        <w:autoSpaceDE w:val="0"/>
        <w:autoSpaceDN w:val="0"/>
        <w:spacing w:line="594" w:lineRule="exact"/>
        <w:ind w:firstLine="640" w:firstLineChars="200"/>
        <w:jc w:val="center"/>
        <w:rPr>
          <w:rStyle w:val="12"/>
          <w:rFonts w:hAnsi="方正黑体_GBK" w:eastAsia="方正黑体_GBK"/>
          <w:b w:val="0"/>
          <w:bCs/>
          <w:sz w:val="32"/>
          <w:szCs w:val="32"/>
          <w:lang w:val="zh-CN"/>
        </w:rPr>
      </w:pPr>
      <w:r>
        <w:rPr>
          <w:rStyle w:val="12"/>
          <w:rFonts w:hAnsi="方正黑体_GBK" w:eastAsia="方正黑体_GBK"/>
          <w:b w:val="0"/>
          <w:bCs/>
          <w:sz w:val="32"/>
          <w:szCs w:val="32"/>
          <w:lang w:val="zh-CN"/>
        </w:rPr>
        <w:t>第四章</w:t>
      </w:r>
      <w:r>
        <w:rPr>
          <w:rStyle w:val="12"/>
          <w:rFonts w:hint="eastAsia" w:eastAsia="方正黑体_GBK"/>
          <w:b w:val="0"/>
          <w:bCs/>
          <w:sz w:val="32"/>
          <w:szCs w:val="32"/>
          <w:lang w:val="zh-CN"/>
        </w:rPr>
        <w:t xml:space="preserve"> </w:t>
      </w:r>
      <w:r>
        <w:rPr>
          <w:rStyle w:val="12"/>
          <w:rFonts w:hint="eastAsia" w:eastAsia="方正黑体_GBK"/>
          <w:b w:val="0"/>
          <w:bCs/>
          <w:sz w:val="32"/>
          <w:szCs w:val="32"/>
        </w:rPr>
        <w:t xml:space="preserve">  </w:t>
      </w:r>
      <w:r>
        <w:rPr>
          <w:rStyle w:val="12"/>
          <w:rFonts w:hint="eastAsia" w:eastAsia="方正黑体_GBK"/>
          <w:b w:val="0"/>
          <w:bCs/>
          <w:sz w:val="32"/>
          <w:szCs w:val="32"/>
          <w:lang w:val="zh-CN"/>
        </w:rPr>
        <w:t xml:space="preserve"> </w:t>
      </w:r>
      <w:r>
        <w:rPr>
          <w:rStyle w:val="12"/>
          <w:rFonts w:hAnsi="方正黑体_GBK" w:eastAsia="方正黑体_GBK"/>
          <w:b w:val="0"/>
          <w:bCs/>
          <w:sz w:val="32"/>
          <w:szCs w:val="32"/>
          <w:lang w:val="zh-CN"/>
        </w:rPr>
        <w:t>交易秩序</w:t>
      </w:r>
    </w:p>
    <w:p>
      <w:pPr>
        <w:autoSpaceDE w:val="0"/>
        <w:autoSpaceDN w:val="0"/>
        <w:spacing w:line="594" w:lineRule="exact"/>
        <w:ind w:firstLine="643" w:firstLineChars="200"/>
        <w:jc w:val="center"/>
        <w:rPr>
          <w:rStyle w:val="12"/>
          <w:rFonts w:hAnsi="方正黑体_GBK" w:eastAsia="方正黑体_GBK"/>
          <w:sz w:val="32"/>
          <w:szCs w:val="32"/>
          <w:lang w:val="zh-CN"/>
        </w:rPr>
      </w:pPr>
    </w:p>
    <w:p>
      <w:pPr>
        <w:autoSpaceDE w:val="0"/>
        <w:autoSpaceDN w:val="0"/>
        <w:spacing w:line="594" w:lineRule="exact"/>
        <w:ind w:firstLine="640" w:firstLineChars="200"/>
        <w:rPr>
          <w:rFonts w:ascii="仿宋_GB2312" w:eastAsia="仿宋_GB2312"/>
          <w:sz w:val="30"/>
          <w:szCs w:val="30"/>
          <w:lang w:val="zh-CN"/>
        </w:rPr>
      </w:pPr>
      <w:r>
        <w:rPr>
          <w:rStyle w:val="12"/>
          <w:rFonts w:hAnsi="方正楷体_GBK" w:eastAsia="方正楷体_GBK"/>
          <w:b w:val="0"/>
          <w:sz w:val="32"/>
          <w:szCs w:val="32"/>
          <w:lang w:val="zh-CN"/>
        </w:rPr>
        <w:t>第十</w:t>
      </w:r>
      <w:r>
        <w:rPr>
          <w:rStyle w:val="12"/>
          <w:rFonts w:hint="eastAsia" w:hAnsi="方正楷体_GBK" w:eastAsia="方正楷体_GBK"/>
          <w:b w:val="0"/>
          <w:sz w:val="32"/>
          <w:szCs w:val="32"/>
        </w:rPr>
        <w:t>六</w:t>
      </w:r>
      <w:r>
        <w:rPr>
          <w:rStyle w:val="12"/>
          <w:rFonts w:hAnsi="方正楷体_GBK" w:eastAsia="方正楷体_GBK"/>
          <w:b w:val="0"/>
          <w:sz w:val="32"/>
          <w:szCs w:val="32"/>
          <w:lang w:val="zh-CN"/>
        </w:rPr>
        <w:t>条</w:t>
      </w:r>
      <w:r>
        <w:rPr>
          <w:rStyle w:val="12"/>
          <w:rFonts w:hint="eastAsia" w:hAnsi="方正楷体_GBK" w:eastAsia="方正楷体_GBK"/>
          <w:b w:val="0"/>
          <w:sz w:val="32"/>
          <w:szCs w:val="32"/>
          <w:lang w:val="zh-CN"/>
        </w:rPr>
        <w:t xml:space="preserve"> </w:t>
      </w:r>
      <w:r>
        <w:rPr>
          <w:rStyle w:val="12"/>
          <w:rFonts w:hint="eastAsia" w:hAnsi="方正楷体_GBK" w:eastAsia="方正楷体_GBK"/>
          <w:bCs/>
          <w:sz w:val="32"/>
          <w:szCs w:val="32"/>
        </w:rPr>
        <w:t xml:space="preserve">  </w:t>
      </w:r>
      <w:r>
        <w:rPr>
          <w:rFonts w:ascii="仿宋_GB2312" w:eastAsia="仿宋_GB2312"/>
          <w:sz w:val="30"/>
          <w:szCs w:val="30"/>
        </w:rPr>
        <w:t>参加交易的会员应按时</w:t>
      </w:r>
      <w:r>
        <w:rPr>
          <w:rFonts w:ascii="仿宋_GB2312" w:eastAsia="仿宋_GB2312"/>
          <w:sz w:val="30"/>
          <w:szCs w:val="30"/>
          <w:lang w:val="zh-CN"/>
        </w:rPr>
        <w:t>登录国家粮食交</w:t>
      </w:r>
      <w:r>
        <w:rPr>
          <w:rFonts w:ascii="仿宋_GB2312" w:eastAsia="仿宋_GB2312"/>
          <w:sz w:val="30"/>
          <w:szCs w:val="30"/>
        </w:rPr>
        <w:t>易中心官网（www.grainmarket.com.cn）进入国家粮食电子交易平台，选择竞价交易专场，</w:t>
      </w:r>
      <w:r>
        <w:rPr>
          <w:rFonts w:ascii="仿宋_GB2312" w:eastAsia="仿宋_GB2312"/>
          <w:sz w:val="30"/>
          <w:szCs w:val="30"/>
          <w:lang w:val="zh-CN"/>
        </w:rPr>
        <w:t>做好交易准备。</w:t>
      </w:r>
    </w:p>
    <w:p>
      <w:pPr>
        <w:pStyle w:val="8"/>
        <w:spacing w:beforeAutospacing="0" w:afterAutospacing="0" w:line="594" w:lineRule="exact"/>
        <w:ind w:firstLine="640" w:firstLineChars="200"/>
        <w:rPr>
          <w:rFonts w:ascii="仿宋_GB2312" w:eastAsia="仿宋_GB2312"/>
          <w:sz w:val="30"/>
          <w:szCs w:val="30"/>
        </w:rPr>
      </w:pPr>
      <w:r>
        <w:rPr>
          <w:rStyle w:val="12"/>
          <w:rFonts w:hAnsi="方正楷体_GBK" w:eastAsia="方正楷体_GBK"/>
          <w:b w:val="0"/>
          <w:sz w:val="32"/>
          <w:szCs w:val="32"/>
          <w:lang w:val="zh-CN"/>
        </w:rPr>
        <w:t>第十</w:t>
      </w:r>
      <w:r>
        <w:rPr>
          <w:rStyle w:val="12"/>
          <w:rFonts w:hint="eastAsia" w:hAnsi="方正楷体_GBK" w:eastAsia="方正楷体_GBK"/>
          <w:b w:val="0"/>
          <w:sz w:val="32"/>
          <w:szCs w:val="32"/>
        </w:rPr>
        <w:t>七</w:t>
      </w:r>
      <w:r>
        <w:rPr>
          <w:rStyle w:val="12"/>
          <w:rFonts w:hAnsi="方正楷体_GBK" w:eastAsia="方正楷体_GBK"/>
          <w:b w:val="0"/>
          <w:sz w:val="32"/>
          <w:szCs w:val="32"/>
          <w:lang w:val="zh-CN"/>
        </w:rPr>
        <w:t>条</w:t>
      </w:r>
      <w:r>
        <w:rPr>
          <w:rStyle w:val="12"/>
          <w:rFonts w:hint="eastAsia" w:hAnsi="方正楷体_GBK" w:eastAsia="方正楷体_GBK"/>
          <w:bCs/>
          <w:sz w:val="32"/>
          <w:szCs w:val="32"/>
          <w:lang w:val="zh-CN"/>
        </w:rPr>
        <w:t xml:space="preserve"> </w:t>
      </w:r>
      <w:r>
        <w:rPr>
          <w:rStyle w:val="12"/>
          <w:rFonts w:hint="eastAsia" w:hAnsi="方正楷体_GBK" w:eastAsia="方正楷体_GBK"/>
          <w:bCs/>
          <w:sz w:val="32"/>
          <w:szCs w:val="32"/>
        </w:rPr>
        <w:t xml:space="preserve"> </w:t>
      </w:r>
      <w:r>
        <w:rPr>
          <w:rFonts w:hint="eastAsia" w:ascii="仿宋_GB2312" w:eastAsia="仿宋_GB2312"/>
          <w:sz w:val="30"/>
          <w:szCs w:val="30"/>
        </w:rPr>
        <w:t>交易活动按照交易中心确定的交易方式、交易程序进行。</w:t>
      </w:r>
    </w:p>
    <w:p>
      <w:pPr>
        <w:spacing w:line="594" w:lineRule="exact"/>
        <w:ind w:firstLine="640" w:firstLineChars="200"/>
        <w:rPr>
          <w:rFonts w:ascii="仿宋_GB2312" w:eastAsia="仿宋_GB2312"/>
          <w:sz w:val="30"/>
          <w:szCs w:val="30"/>
        </w:rPr>
      </w:pPr>
      <w:r>
        <w:rPr>
          <w:rStyle w:val="12"/>
          <w:rFonts w:hAnsi="方正楷体_GBK" w:eastAsia="方正楷体_GBK"/>
          <w:b w:val="0"/>
          <w:sz w:val="32"/>
          <w:szCs w:val="32"/>
          <w:lang w:val="zh-CN"/>
        </w:rPr>
        <w:t>第十</w:t>
      </w:r>
      <w:r>
        <w:rPr>
          <w:rStyle w:val="12"/>
          <w:rFonts w:hint="eastAsia" w:hAnsi="方正楷体_GBK" w:eastAsia="方正楷体_GBK"/>
          <w:b w:val="0"/>
          <w:sz w:val="32"/>
          <w:szCs w:val="32"/>
        </w:rPr>
        <w:t>八</w:t>
      </w:r>
      <w:r>
        <w:rPr>
          <w:rStyle w:val="12"/>
          <w:rFonts w:hAnsi="方正楷体_GBK" w:eastAsia="方正楷体_GBK"/>
          <w:b w:val="0"/>
          <w:sz w:val="32"/>
          <w:szCs w:val="32"/>
          <w:lang w:val="zh-CN"/>
        </w:rPr>
        <w:t>条</w:t>
      </w:r>
      <w:r>
        <w:rPr>
          <w:rStyle w:val="12"/>
          <w:rFonts w:hint="eastAsia" w:hAnsi="方正楷体_GBK" w:eastAsia="方正楷体_GBK"/>
          <w:bCs/>
          <w:sz w:val="32"/>
          <w:szCs w:val="32"/>
        </w:rPr>
        <w:t xml:space="preserve">  </w:t>
      </w:r>
      <w:r>
        <w:rPr>
          <w:rFonts w:hint="eastAsia" w:ascii="仿宋_GB2312" w:eastAsia="仿宋_GB2312"/>
          <w:sz w:val="30"/>
          <w:szCs w:val="30"/>
        </w:rPr>
        <w:t>为保护参与竞价交易各方合法权益，保障正常交易秩序，禁止恶意串通交易价格等损害他人利益的一切行为，对严重扰乱交易秩序的，交易中心有权取消其交易资格和会员资格。</w:t>
      </w:r>
    </w:p>
    <w:p>
      <w:pPr>
        <w:pStyle w:val="2"/>
      </w:pPr>
    </w:p>
    <w:p>
      <w:pPr>
        <w:pStyle w:val="8"/>
        <w:spacing w:beforeAutospacing="0" w:afterAutospacing="0" w:line="594" w:lineRule="exact"/>
        <w:ind w:firstLine="2844" w:firstLineChars="889"/>
        <w:rPr>
          <w:rStyle w:val="12"/>
          <w:rFonts w:ascii="方正黑体_GBK" w:hAnsi="方正黑体_GBK" w:eastAsia="方正黑体_GBK" w:cs="方正黑体_GBK"/>
          <w:b w:val="0"/>
          <w:bCs/>
          <w:sz w:val="32"/>
          <w:szCs w:val="32"/>
        </w:rPr>
      </w:pPr>
      <w:r>
        <w:rPr>
          <w:rStyle w:val="12"/>
          <w:rFonts w:hint="eastAsia" w:ascii="方正黑体_GBK" w:hAnsi="方正黑体_GBK" w:eastAsia="方正黑体_GBK" w:cs="方正黑体_GBK"/>
          <w:b w:val="0"/>
          <w:bCs/>
          <w:sz w:val="32"/>
          <w:szCs w:val="32"/>
        </w:rPr>
        <w:t>第五章    交易程序</w:t>
      </w:r>
    </w:p>
    <w:p>
      <w:pPr>
        <w:pStyle w:val="8"/>
        <w:spacing w:beforeAutospacing="0" w:afterAutospacing="0" w:line="594" w:lineRule="exact"/>
        <w:ind w:firstLine="2856" w:firstLineChars="889"/>
        <w:rPr>
          <w:rStyle w:val="12"/>
          <w:rFonts w:hAnsi="方正黑体_GBK" w:eastAsia="方正黑体_GBK"/>
          <w:sz w:val="32"/>
          <w:szCs w:val="32"/>
        </w:rPr>
      </w:pPr>
    </w:p>
    <w:p>
      <w:pPr>
        <w:numPr>
          <w:ilvl w:val="255"/>
          <w:numId w:val="0"/>
        </w:numPr>
        <w:tabs>
          <w:tab w:val="left" w:pos="-180"/>
          <w:tab w:val="left" w:pos="2012"/>
        </w:tabs>
        <w:ind w:firstLine="640" w:firstLineChars="200"/>
        <w:rPr>
          <w:rFonts w:ascii="仿宋_GB2312" w:eastAsia="仿宋_GB2312"/>
          <w:sz w:val="30"/>
          <w:szCs w:val="30"/>
        </w:rPr>
      </w:pPr>
      <w:r>
        <w:rPr>
          <w:rStyle w:val="12"/>
          <w:rFonts w:hint="eastAsia" w:hAnsi="方正楷体_GBK" w:eastAsia="方正楷体_GBK"/>
          <w:b w:val="0"/>
          <w:sz w:val="32"/>
          <w:szCs w:val="32"/>
        </w:rPr>
        <w:t>第十九条</w:t>
      </w:r>
      <w:r>
        <w:rPr>
          <w:rFonts w:hint="eastAsia" w:ascii="仿宋_GB2312" w:eastAsia="仿宋_GB2312"/>
          <w:sz w:val="30"/>
          <w:szCs w:val="30"/>
        </w:rPr>
        <w:t xml:space="preserve"> 交易中心</w:t>
      </w:r>
      <w:r>
        <w:rPr>
          <w:rFonts w:hint="eastAsia" w:ascii="仿宋_GB2312" w:eastAsia="仿宋_GB2312"/>
          <w:sz w:val="30"/>
          <w:szCs w:val="30"/>
          <w:lang w:val="en-US" w:eastAsia="zh-CN"/>
        </w:rPr>
        <w:t>重庆市丰都县储备粮</w:t>
      </w:r>
      <w:r>
        <w:rPr>
          <w:rFonts w:hint="eastAsia" w:ascii="仿宋_GB2312" w:eastAsia="仿宋_GB2312"/>
          <w:sz w:val="30"/>
          <w:szCs w:val="30"/>
        </w:rPr>
        <w:t>有限公司委托，组建竞价专场，交易信息以专场标的形式展现；竞价参与方在专场交易的规定时间内可对选定的标的，以轮入新油采购价格事先公布、轮出粮油销售价格向上的出价方式进行公开竞价。交易系统按照“价格优先、时间优先”的原则成交。</w:t>
      </w:r>
    </w:p>
    <w:p>
      <w:pPr>
        <w:numPr>
          <w:ilvl w:val="255"/>
          <w:numId w:val="0"/>
        </w:numPr>
        <w:tabs>
          <w:tab w:val="left" w:pos="-180"/>
          <w:tab w:val="left" w:pos="2012"/>
        </w:tabs>
        <w:ind w:firstLine="640" w:firstLineChars="200"/>
        <w:rPr>
          <w:rFonts w:ascii="仿宋_GB2312" w:eastAsia="仿宋_GB2312"/>
          <w:color w:val="FF0000"/>
          <w:sz w:val="30"/>
          <w:szCs w:val="30"/>
        </w:rPr>
      </w:pPr>
      <w:r>
        <w:rPr>
          <w:rStyle w:val="12"/>
          <w:rFonts w:hint="eastAsia" w:hAnsi="方正楷体_GBK" w:eastAsia="方正楷体_GBK"/>
          <w:b w:val="0"/>
          <w:sz w:val="32"/>
          <w:szCs w:val="32"/>
          <w:lang w:val="zh-CN"/>
        </w:rPr>
        <w:t>第</w:t>
      </w:r>
      <w:r>
        <w:rPr>
          <w:rStyle w:val="12"/>
          <w:rFonts w:hint="eastAsia" w:hAnsi="方正楷体_GBK" w:eastAsia="方正楷体_GBK"/>
          <w:b w:val="0"/>
          <w:sz w:val="32"/>
          <w:szCs w:val="32"/>
        </w:rPr>
        <w:t>二十</w:t>
      </w:r>
      <w:r>
        <w:rPr>
          <w:rStyle w:val="12"/>
          <w:rFonts w:hint="eastAsia" w:hAnsi="方正楷体_GBK" w:eastAsia="方正楷体_GBK"/>
          <w:b w:val="0"/>
          <w:sz w:val="32"/>
          <w:szCs w:val="32"/>
          <w:lang w:val="zh-CN"/>
        </w:rPr>
        <w:t>条</w:t>
      </w:r>
      <w:r>
        <w:rPr>
          <w:rStyle w:val="12"/>
          <w:rFonts w:hint="eastAsia" w:hAnsi="方正楷体_GBK" w:eastAsia="方正楷体_GBK"/>
          <w:b w:val="0"/>
          <w:sz w:val="32"/>
          <w:szCs w:val="32"/>
        </w:rPr>
        <w:t xml:space="preserve">  </w:t>
      </w:r>
      <w:r>
        <w:rPr>
          <w:rFonts w:hint="eastAsia" w:ascii="仿宋_GB2312" w:eastAsia="仿宋_GB2312"/>
          <w:color w:val="FF0000"/>
          <w:sz w:val="28"/>
          <w:szCs w:val="28"/>
        </w:rPr>
        <w:t xml:space="preserve"> </w:t>
      </w:r>
      <w:r>
        <w:rPr>
          <w:rFonts w:hint="eastAsia" w:ascii="仿宋_GB2312" w:eastAsia="仿宋_GB2312"/>
          <w:sz w:val="30"/>
          <w:szCs w:val="30"/>
        </w:rPr>
        <w:t>采购价格是公布价格（具体见委托方提供的交易清单），为船运散油入交收库油罐的价格。销售价格以竞价方式产生（底价具体见交易清单），为散油汽车板价格。出入库费用为30元/吨，轮出轮入库质检费用另计。</w:t>
      </w:r>
    </w:p>
    <w:p>
      <w:pPr>
        <w:tabs>
          <w:tab w:val="left" w:pos="-180"/>
          <w:tab w:val="left" w:pos="2012"/>
        </w:tabs>
        <w:ind w:firstLine="640" w:firstLineChars="200"/>
        <w:rPr>
          <w:rFonts w:ascii="仿宋_GB2312" w:eastAsia="仿宋_GB2312"/>
          <w:sz w:val="28"/>
          <w:szCs w:val="28"/>
        </w:rPr>
      </w:pPr>
      <w:r>
        <w:rPr>
          <w:rStyle w:val="12"/>
          <w:rFonts w:hint="eastAsia" w:hAnsi="方正楷体_GBK" w:eastAsia="方正楷体_GBK"/>
          <w:b w:val="0"/>
          <w:sz w:val="32"/>
          <w:szCs w:val="32"/>
        </w:rPr>
        <w:t>第二十一条</w:t>
      </w:r>
      <w:r>
        <w:rPr>
          <w:rFonts w:hint="eastAsia" w:eastAsia="方正仿宋_GBK"/>
          <w:sz w:val="32"/>
          <w:szCs w:val="32"/>
        </w:rPr>
        <w:t xml:space="preserve">  </w:t>
      </w:r>
      <w:r>
        <w:rPr>
          <w:rFonts w:hint="eastAsia" w:ascii="仿宋_GB2312" w:eastAsia="仿宋_GB2312"/>
          <w:sz w:val="30"/>
          <w:szCs w:val="30"/>
        </w:rPr>
        <w:t>竞价交易按委托标的序号顺序，依次按交易节进行。此次专场1个标的为1个交易节，时间为90秒。</w:t>
      </w:r>
    </w:p>
    <w:p>
      <w:pPr>
        <w:tabs>
          <w:tab w:val="left" w:pos="-180"/>
          <w:tab w:val="left" w:pos="2012"/>
        </w:tabs>
        <w:ind w:firstLine="640" w:firstLineChars="200"/>
        <w:rPr>
          <w:rFonts w:ascii="仿宋_GB2312" w:eastAsia="仿宋_GB2312"/>
          <w:sz w:val="30"/>
          <w:szCs w:val="30"/>
        </w:rPr>
      </w:pPr>
      <w:r>
        <w:rPr>
          <w:rStyle w:val="12"/>
          <w:rFonts w:hint="eastAsia" w:hAnsi="方正楷体_GBK" w:eastAsia="方正楷体_GBK"/>
          <w:b w:val="0"/>
          <w:sz w:val="32"/>
          <w:szCs w:val="32"/>
        </w:rPr>
        <w:t>第二十二条</w:t>
      </w:r>
      <w:r>
        <w:rPr>
          <w:rFonts w:hint="eastAsia" w:eastAsia="方正仿宋_GBK"/>
          <w:sz w:val="32"/>
          <w:szCs w:val="32"/>
        </w:rPr>
        <w:t xml:space="preserve"> </w:t>
      </w:r>
      <w:r>
        <w:rPr>
          <w:rFonts w:ascii="仿宋_GB2312" w:eastAsia="仿宋_GB2312"/>
          <w:sz w:val="30"/>
          <w:szCs w:val="30"/>
        </w:rPr>
        <w:t>开市后，</w:t>
      </w:r>
      <w:r>
        <w:rPr>
          <w:rFonts w:hint="eastAsia" w:ascii="仿宋_GB2312" w:eastAsia="仿宋_GB2312"/>
          <w:sz w:val="30"/>
          <w:szCs w:val="30"/>
        </w:rPr>
        <w:t>竞价参与方利用计算机</w:t>
      </w:r>
      <w:r>
        <w:rPr>
          <w:rFonts w:ascii="仿宋_GB2312" w:eastAsia="仿宋_GB2312"/>
          <w:sz w:val="30"/>
          <w:szCs w:val="30"/>
        </w:rPr>
        <w:t>从标的起价价位开始报价</w:t>
      </w:r>
      <w:r>
        <w:rPr>
          <w:rFonts w:hint="eastAsia" w:ascii="仿宋_GB2312" w:eastAsia="仿宋_GB2312"/>
          <w:sz w:val="30"/>
          <w:szCs w:val="30"/>
        </w:rPr>
        <w:t>，</w:t>
      </w:r>
      <w:r>
        <w:rPr>
          <w:rFonts w:ascii="仿宋_GB2312" w:eastAsia="仿宋_GB2312"/>
          <w:sz w:val="30"/>
          <w:szCs w:val="30"/>
        </w:rPr>
        <w:t>按每吨5元或5元的整数倍递升报价，</w:t>
      </w:r>
      <w:r>
        <w:rPr>
          <w:rFonts w:hint="eastAsia" w:ascii="仿宋_GB2312" w:eastAsia="仿宋_GB2312"/>
          <w:sz w:val="30"/>
          <w:szCs w:val="30"/>
        </w:rPr>
        <w:t>竞价数量超过预交保证金所能购买数量的不可再参加竞价。</w:t>
      </w:r>
    </w:p>
    <w:p>
      <w:pPr>
        <w:tabs>
          <w:tab w:val="left" w:pos="-180"/>
          <w:tab w:val="left" w:pos="2012"/>
        </w:tabs>
        <w:ind w:firstLine="640" w:firstLineChars="200"/>
        <w:rPr>
          <w:rFonts w:ascii="仿宋_GB2312" w:eastAsia="仿宋_GB2312"/>
          <w:sz w:val="30"/>
          <w:szCs w:val="30"/>
        </w:rPr>
      </w:pPr>
      <w:r>
        <w:rPr>
          <w:rStyle w:val="12"/>
          <w:rFonts w:hint="eastAsia" w:hAnsi="方正楷体_GBK" w:eastAsia="方正楷体_GBK"/>
          <w:b w:val="0"/>
          <w:sz w:val="32"/>
          <w:szCs w:val="32"/>
        </w:rPr>
        <w:t xml:space="preserve">第二十三条 </w:t>
      </w:r>
      <w:r>
        <w:rPr>
          <w:rFonts w:hint="eastAsia" w:ascii="仿宋_GB2312" w:eastAsia="仿宋_GB2312"/>
          <w:sz w:val="30"/>
          <w:szCs w:val="30"/>
        </w:rPr>
        <w:t>竞价参与方</w:t>
      </w:r>
      <w:r>
        <w:rPr>
          <w:rFonts w:ascii="仿宋_GB2312" w:eastAsia="仿宋_GB2312"/>
          <w:sz w:val="30"/>
          <w:szCs w:val="30"/>
        </w:rPr>
        <w:t>在新价位应价并被交易系统确认后，前一价位的应价自动失效。</w:t>
      </w:r>
      <w:r>
        <w:rPr>
          <w:rFonts w:hint="eastAsia" w:ascii="仿宋_GB2312" w:eastAsia="仿宋_GB2312"/>
          <w:sz w:val="30"/>
          <w:szCs w:val="30"/>
        </w:rPr>
        <w:t>竞价参与方报价后，在规定的时间内如无其它竞价参与方以更高的价格报价，则以该报价为标的的销售成交价，该竞买</w:t>
      </w:r>
      <w:r>
        <w:rPr>
          <w:rFonts w:ascii="仿宋_GB2312" w:eastAsia="仿宋_GB2312"/>
          <w:sz w:val="30"/>
          <w:szCs w:val="30"/>
        </w:rPr>
        <w:t>方</w:t>
      </w:r>
      <w:r>
        <w:rPr>
          <w:rFonts w:hint="eastAsia" w:ascii="仿宋_GB2312" w:eastAsia="仿宋_GB2312"/>
          <w:sz w:val="30"/>
          <w:szCs w:val="30"/>
        </w:rPr>
        <w:t>为标的销售合同的销售对象（即中标方，下同）。</w:t>
      </w:r>
    </w:p>
    <w:p>
      <w:pPr>
        <w:tabs>
          <w:tab w:val="left" w:pos="-180"/>
          <w:tab w:val="left" w:pos="2012"/>
        </w:tabs>
        <w:ind w:firstLine="640" w:firstLineChars="200"/>
        <w:rPr>
          <w:rFonts w:ascii="黑体" w:hAnsi="黑体" w:eastAsia="黑体"/>
          <w:sz w:val="30"/>
          <w:szCs w:val="30"/>
        </w:rPr>
      </w:pPr>
      <w:r>
        <w:rPr>
          <w:rStyle w:val="12"/>
          <w:rFonts w:hint="eastAsia" w:hAnsi="方正楷体_GBK" w:eastAsia="方正楷体_GBK"/>
          <w:b w:val="0"/>
          <w:sz w:val="32"/>
          <w:szCs w:val="32"/>
        </w:rPr>
        <w:t>第二十四条</w:t>
      </w:r>
      <w:r>
        <w:rPr>
          <w:rFonts w:hint="eastAsia" w:eastAsia="方正仿宋_GBK"/>
          <w:sz w:val="32"/>
          <w:szCs w:val="32"/>
        </w:rPr>
        <w:t xml:space="preserve"> </w:t>
      </w:r>
      <w:r>
        <w:rPr>
          <w:rFonts w:hint="eastAsia" w:ascii="仿宋_GB2312" w:eastAsia="仿宋_GB2312"/>
          <w:sz w:val="30"/>
          <w:szCs w:val="30"/>
        </w:rPr>
        <w:t>竞价交易专场进行期间，交易委托方无法撤销标的，而竞价参与方一经应价，也不得撤回</w:t>
      </w:r>
      <w:r>
        <w:rPr>
          <w:rFonts w:hint="eastAsia" w:ascii="仿宋_GB2312" w:eastAsia="仿宋_GB2312"/>
          <w:sz w:val="30"/>
          <w:szCs w:val="30"/>
          <w:lang w:val="zh-CN"/>
        </w:rPr>
        <w:t>。专场中的标的</w:t>
      </w:r>
      <w:r>
        <w:rPr>
          <w:rFonts w:hint="eastAsia" w:ascii="仿宋_GB2312" w:eastAsia="仿宋_GB2312"/>
          <w:sz w:val="30"/>
          <w:szCs w:val="30"/>
        </w:rPr>
        <w:t>在有效竞价时间内无人应价时，系统自动撤销该笔交易，即为流拍。</w:t>
      </w:r>
    </w:p>
    <w:p>
      <w:pPr>
        <w:ind w:firstLine="602" w:firstLineChars="200"/>
        <w:rPr>
          <w:rFonts w:ascii="仿宋_GB2312" w:eastAsia="仿宋_GB2312"/>
          <w:sz w:val="30"/>
          <w:szCs w:val="30"/>
        </w:rPr>
      </w:pPr>
      <w:r>
        <w:rPr>
          <w:rFonts w:hint="eastAsia" w:ascii="仿宋_GB2312" w:eastAsia="仿宋_GB2312"/>
          <w:b/>
          <w:sz w:val="30"/>
          <w:szCs w:val="30"/>
        </w:rPr>
        <w:t>第二十五条</w:t>
      </w:r>
      <w:r>
        <w:rPr>
          <w:rFonts w:hint="eastAsia" w:ascii="仿宋_GB2312" w:eastAsia="仿宋_GB2312"/>
          <w:sz w:val="30"/>
          <w:szCs w:val="30"/>
        </w:rPr>
        <w:t xml:space="preserve"> 保证金冻结。</w:t>
      </w:r>
      <w:r>
        <w:rPr>
          <w:rFonts w:hint="eastAsia" w:ascii="仿宋_GB2312" w:eastAsia="仿宋_GB2312"/>
          <w:sz w:val="30"/>
          <w:szCs w:val="30"/>
          <w:highlight w:val="none"/>
        </w:rPr>
        <w:t>在采购价格锁定的情况下，竞价参与方对销售价格进行应价，应价成交后同时签订采购和销售两笔合同，两笔成交合同对应的保证金全部自动冻结</w:t>
      </w:r>
      <w:r>
        <w:rPr>
          <w:rFonts w:hint="eastAsia" w:ascii="仿宋_GB2312" w:eastAsia="仿宋_GB2312"/>
          <w:sz w:val="30"/>
          <w:szCs w:val="30"/>
        </w:rPr>
        <w:t>。未成功竞标的竞价参与方支付的保证金，交易中心收到参与方提交的退款申请单并核实后，2个工作</w:t>
      </w:r>
      <w:r>
        <w:rPr>
          <w:rFonts w:hint="eastAsia" w:ascii="仿宋_GB2312" w:eastAsia="仿宋_GB2312"/>
          <w:sz w:val="30"/>
          <w:szCs w:val="30"/>
          <w:lang w:val="zh-CN"/>
        </w:rPr>
        <w:t>日内退回，</w:t>
      </w:r>
      <w:r>
        <w:rPr>
          <w:rFonts w:hint="eastAsia" w:ascii="仿宋_GB2312" w:eastAsia="仿宋_GB2312"/>
          <w:sz w:val="30"/>
          <w:szCs w:val="30"/>
        </w:rPr>
        <w:t>竞价参与者交付的保证金不计付利息。</w:t>
      </w:r>
    </w:p>
    <w:p>
      <w:pPr>
        <w:spacing w:line="594" w:lineRule="exact"/>
        <w:ind w:firstLine="602" w:firstLineChars="200"/>
        <w:rPr>
          <w:rFonts w:ascii="仿宋_GB2312" w:eastAsia="仿宋_GB2312"/>
          <w:sz w:val="30"/>
          <w:szCs w:val="30"/>
        </w:rPr>
      </w:pPr>
      <w:bookmarkStart w:id="0" w:name="_Toc257121256"/>
      <w:bookmarkStart w:id="1" w:name="_Toc257277860"/>
      <w:r>
        <w:rPr>
          <w:rFonts w:hint="eastAsia" w:ascii="仿宋_GB2312" w:eastAsia="仿宋_GB2312"/>
          <w:b/>
          <w:sz w:val="30"/>
          <w:szCs w:val="30"/>
        </w:rPr>
        <w:t>第二十六条</w:t>
      </w:r>
      <w:r>
        <w:rPr>
          <w:rFonts w:hint="eastAsia" w:ascii="仿宋_GB2312" w:eastAsia="仿宋_GB2312"/>
          <w:sz w:val="30"/>
          <w:szCs w:val="30"/>
        </w:rPr>
        <w:t xml:space="preserve"> 交易合同自系统确定竞价成交之日起生效。交易结束后，成交的买卖双方必须在5个工作日内通过</w:t>
      </w:r>
      <w:r>
        <w:rPr>
          <w:rFonts w:hint="eastAsia" w:eastAsia="方正仿宋_GBK"/>
          <w:sz w:val="32"/>
          <w:szCs w:val="32"/>
        </w:rPr>
        <w:t>邮寄</w:t>
      </w:r>
      <w:r>
        <w:rPr>
          <w:rFonts w:eastAsia="方正仿宋_GBK"/>
          <w:sz w:val="32"/>
          <w:szCs w:val="32"/>
        </w:rPr>
        <w:t>、扫描等方式签订销售</w:t>
      </w:r>
      <w:r>
        <w:rPr>
          <w:rFonts w:hint="eastAsia" w:eastAsia="方正仿宋_GBK"/>
          <w:sz w:val="32"/>
          <w:szCs w:val="32"/>
        </w:rPr>
        <w:t>和</w:t>
      </w:r>
      <w:r>
        <w:rPr>
          <w:rFonts w:eastAsia="方正仿宋_GBK"/>
          <w:sz w:val="32"/>
          <w:szCs w:val="32"/>
        </w:rPr>
        <w:t>采购合同</w:t>
      </w:r>
      <w:r>
        <w:rPr>
          <w:rFonts w:hint="eastAsia" w:ascii="仿宋_GB2312" w:eastAsia="仿宋_GB2312"/>
          <w:sz w:val="30"/>
          <w:szCs w:val="30"/>
        </w:rPr>
        <w:t>。交易中心作为第三方，跟踪、协调交易合同的履行。</w:t>
      </w:r>
    </w:p>
    <w:bookmarkEnd w:id="0"/>
    <w:bookmarkEnd w:id="1"/>
    <w:p>
      <w:pPr>
        <w:tabs>
          <w:tab w:val="left" w:pos="0"/>
          <w:tab w:val="left" w:pos="1303"/>
        </w:tabs>
        <w:ind w:firstLine="600" w:firstLineChars="200"/>
        <w:rPr>
          <w:rFonts w:ascii="仿宋_GB2312" w:eastAsia="仿宋_GB2312"/>
          <w:sz w:val="30"/>
          <w:szCs w:val="30"/>
        </w:rPr>
      </w:pPr>
    </w:p>
    <w:p>
      <w:pPr>
        <w:numPr>
          <w:ilvl w:val="0"/>
          <w:numId w:val="2"/>
        </w:numPr>
        <w:tabs>
          <w:tab w:val="left" w:pos="0"/>
          <w:tab w:val="left" w:pos="1303"/>
        </w:tabs>
        <w:ind w:firstLine="755"/>
        <w:jc w:val="center"/>
        <w:rPr>
          <w:rFonts w:ascii="黑体" w:hAnsi="黑体" w:eastAsia="黑体"/>
          <w:sz w:val="32"/>
          <w:szCs w:val="32"/>
        </w:rPr>
      </w:pPr>
      <w:r>
        <w:rPr>
          <w:rFonts w:hint="eastAsia" w:ascii="黑体" w:hAnsi="黑体" w:eastAsia="黑体"/>
          <w:sz w:val="32"/>
          <w:szCs w:val="32"/>
        </w:rPr>
        <w:t>交割结算</w:t>
      </w:r>
    </w:p>
    <w:p>
      <w:pPr>
        <w:pStyle w:val="2"/>
      </w:pPr>
    </w:p>
    <w:p>
      <w:pPr>
        <w:ind w:firstLine="602" w:firstLineChars="200"/>
        <w:rPr>
          <w:rFonts w:ascii="仿宋_GB2312" w:eastAsia="仿宋_GB2312"/>
          <w:sz w:val="30"/>
          <w:szCs w:val="30"/>
        </w:rPr>
      </w:pPr>
      <w:r>
        <w:rPr>
          <w:rFonts w:hint="eastAsia" w:ascii="仿宋_GB2312" w:eastAsia="仿宋_GB2312"/>
          <w:b/>
          <w:sz w:val="30"/>
          <w:szCs w:val="30"/>
        </w:rPr>
        <w:t>第二十七条</w:t>
      </w:r>
      <w:r>
        <w:rPr>
          <w:rFonts w:hint="eastAsia" w:ascii="仿宋_GB2312" w:eastAsia="仿宋_GB2312"/>
          <w:sz w:val="30"/>
          <w:szCs w:val="30"/>
        </w:rPr>
        <w:t xml:space="preserve"> 交割方式。本专场竞价交易生成的销售合同执行实行“先款后货”，委托方在合同规定的出库期内按到款进度发货；采购合同执行实行“先货后款”，委托方在合同规定的入库期内依据《验收确认单》付款，到货数量为交收库点提供的经委托方确认的数量确认单数量；委托方自初检合格确认数量之日起5个工作日内支付该批次相应90%货款，待综合验收合格后5个工作日内支付该批次剩余货款。</w:t>
      </w:r>
    </w:p>
    <w:p>
      <w:pPr>
        <w:tabs>
          <w:tab w:val="left" w:pos="-180"/>
          <w:tab w:val="left" w:pos="2012"/>
        </w:tabs>
        <w:ind w:firstLine="602" w:firstLineChars="200"/>
        <w:rPr>
          <w:rFonts w:ascii="仿宋_GB2312" w:eastAsia="仿宋_GB2312"/>
          <w:sz w:val="30"/>
          <w:szCs w:val="30"/>
        </w:rPr>
      </w:pPr>
      <w:r>
        <w:rPr>
          <w:rFonts w:hint="eastAsia" w:ascii="仿宋_GB2312" w:eastAsia="仿宋_GB2312"/>
          <w:b/>
          <w:sz w:val="30"/>
          <w:szCs w:val="30"/>
        </w:rPr>
        <w:t>第二十八条</w:t>
      </w:r>
      <w:r>
        <w:rPr>
          <w:rFonts w:hint="eastAsia" w:ascii="仿宋_GB2312" w:eastAsia="仿宋_GB2312"/>
          <w:sz w:val="30"/>
          <w:szCs w:val="30"/>
        </w:rPr>
        <w:t xml:space="preserve"> 交易手续费。按销售标的成交金额的3.5‰向中标方收取。</w:t>
      </w:r>
    </w:p>
    <w:p>
      <w:pPr>
        <w:pStyle w:val="2"/>
        <w:rPr>
          <w:rFonts w:ascii="仿宋_GB2312" w:eastAsia="仿宋_GB2312"/>
          <w:sz w:val="30"/>
          <w:szCs w:val="30"/>
        </w:rPr>
      </w:pPr>
      <w:r>
        <w:rPr>
          <w:rFonts w:hint="eastAsia" w:ascii="仿宋_GB2312" w:eastAsia="仿宋_GB2312"/>
          <w:sz w:val="30"/>
          <w:szCs w:val="30"/>
        </w:rPr>
        <w:t xml:space="preserve">    第二十九条 货款支付。</w:t>
      </w:r>
      <w:r>
        <w:rPr>
          <w:rFonts w:hint="eastAsia" w:ascii="仿宋_GB2312" w:eastAsia="仿宋_GB2312"/>
          <w:sz w:val="30"/>
          <w:szCs w:val="30"/>
          <w:highlight w:val="none"/>
        </w:rPr>
        <w:t>执行销售合同时，中标方必须于交易合同生效之日起，在规定的出库期内分批次把全部货款汇入交易中心指定银行账户，出库完毕，交易中心凭双方签订的验收确认单在5个工作日内把货款支付给委托方。执行采购合同时，委托方必须于交易合同生效之日起，按照入库粮油数量把货款分批汇入交易中心指定银行账户，交易中心按照双方签订的验收确认单在5个工作日内把货款支付给中标方</w:t>
      </w:r>
      <w:r>
        <w:rPr>
          <w:rFonts w:hint="eastAsia" w:ascii="仿宋_GB2312" w:eastAsia="仿宋_GB2312"/>
          <w:sz w:val="30"/>
          <w:szCs w:val="30"/>
        </w:rPr>
        <w:t>。</w:t>
      </w:r>
    </w:p>
    <w:p>
      <w:pPr>
        <w:tabs>
          <w:tab w:val="left" w:pos="-180"/>
          <w:tab w:val="left" w:pos="2012"/>
        </w:tabs>
        <w:ind w:firstLine="602" w:firstLineChars="200"/>
        <w:rPr>
          <w:rFonts w:ascii="仿宋_GB2312" w:eastAsia="仿宋_GB2312"/>
          <w:sz w:val="30"/>
          <w:szCs w:val="30"/>
        </w:rPr>
      </w:pPr>
      <w:r>
        <w:rPr>
          <w:rFonts w:hint="eastAsia" w:ascii="仿宋_GB2312" w:eastAsia="仿宋_GB2312"/>
          <w:b/>
          <w:sz w:val="30"/>
          <w:szCs w:val="30"/>
        </w:rPr>
        <w:t>第三十条</w:t>
      </w:r>
      <w:r>
        <w:rPr>
          <w:rFonts w:hint="eastAsia" w:ascii="仿宋_GB2312" w:eastAsia="仿宋_GB2312"/>
          <w:sz w:val="30"/>
          <w:szCs w:val="30"/>
        </w:rPr>
        <w:t xml:space="preserve"> 提货和送货证明。中标方提货和送货时必须出具本企业的营业执照复印件及本企业《关于办理竞价交易提（送）货的委托函》（或介绍信）等证明资料，证明资料上必须加盖本企业公章或委托方认可的章，提货人员和送货人员要提供有效身份证明，由委托方核对后复印并与其他证明资料一并留存。送货时，中标方还须提供每批次交付货物的出厂质量检验报告和塑化剂检验报告，并对各项报告的真实性、合法性负责。上述资料可以传真件、扫描件或其他双方认可合法有效的数据电文形式出具。</w:t>
      </w:r>
    </w:p>
    <w:p>
      <w:pPr>
        <w:tabs>
          <w:tab w:val="left" w:pos="-180"/>
          <w:tab w:val="left" w:pos="2012"/>
        </w:tabs>
        <w:ind w:firstLine="602" w:firstLineChars="200"/>
        <w:rPr>
          <w:rFonts w:ascii="仿宋_GB2312" w:eastAsia="仿宋_GB2312"/>
          <w:sz w:val="30"/>
          <w:szCs w:val="30"/>
        </w:rPr>
      </w:pPr>
      <w:r>
        <w:rPr>
          <w:rFonts w:hint="eastAsia" w:ascii="仿宋_GB2312" w:eastAsia="仿宋_GB2312"/>
          <w:b/>
          <w:sz w:val="30"/>
          <w:szCs w:val="30"/>
        </w:rPr>
        <w:t>第三十一条</w:t>
      </w:r>
      <w:r>
        <w:rPr>
          <w:rFonts w:hint="eastAsia" w:ascii="仿宋_GB2312" w:eastAsia="仿宋_GB2312"/>
          <w:sz w:val="30"/>
          <w:szCs w:val="30"/>
        </w:rPr>
        <w:t xml:space="preserve"> 出库通知单。中标方在交易系统内查询货款到账后，按货款折算的粮油数量，自行填写电子《出库通知单》，交易中心在 1 个工作日内完成确认，并通知委托方和中标方，</w:t>
      </w:r>
      <w:bookmarkStart w:id="2" w:name="_Hlk77945403"/>
      <w:r>
        <w:rPr>
          <w:rFonts w:hint="eastAsia" w:ascii="仿宋_GB2312" w:eastAsia="仿宋_GB2312"/>
          <w:sz w:val="30"/>
          <w:szCs w:val="30"/>
        </w:rPr>
        <w:t>委托方和中标方在 1 个工作日内进行复核，有异议的，应当在复核期限内提出，否则视为认可交易价中心确认的粮油数量。</w:t>
      </w:r>
      <w:bookmarkEnd w:id="2"/>
      <w:r>
        <w:rPr>
          <w:rFonts w:hint="eastAsia" w:ascii="仿宋_GB2312" w:eastAsia="仿宋_GB2312"/>
          <w:sz w:val="30"/>
          <w:szCs w:val="30"/>
        </w:rPr>
        <w:t>电子《出库通知单》由双方自行打印留存。中标方以出库通知单作为出库凭证。</w:t>
      </w:r>
    </w:p>
    <w:p>
      <w:pPr>
        <w:ind w:firstLine="602" w:firstLineChars="200"/>
        <w:rPr>
          <w:rFonts w:ascii="仿宋_GB2312" w:eastAsia="仿宋_GB2312"/>
          <w:sz w:val="30"/>
          <w:szCs w:val="30"/>
        </w:rPr>
      </w:pPr>
      <w:r>
        <w:rPr>
          <w:rFonts w:hint="eastAsia" w:ascii="仿宋_GB2312" w:eastAsia="仿宋_GB2312"/>
          <w:b/>
          <w:sz w:val="30"/>
          <w:szCs w:val="30"/>
        </w:rPr>
        <w:t>第三十二条</w:t>
      </w:r>
      <w:r>
        <w:rPr>
          <w:rFonts w:hint="eastAsia" w:ascii="仿宋_GB2312" w:eastAsia="仿宋_GB2312"/>
          <w:sz w:val="30"/>
          <w:szCs w:val="30"/>
        </w:rPr>
        <w:t xml:space="preserve"> 发货。委托方（中标方）安排发货前应提前通知中标方（委托方）。委托方以出库通知单作为发库凭证。执行采购合同时，中标方须在发货前邮寄菜籽油样品给委托方检验或通知委托方工作人员实地查看粮油实物质量，待收到委托方的通知后再进行发货。</w:t>
      </w:r>
    </w:p>
    <w:p>
      <w:pPr>
        <w:tabs>
          <w:tab w:val="left" w:pos="-180"/>
          <w:tab w:val="left" w:pos="2012"/>
        </w:tabs>
        <w:ind w:firstLine="602" w:firstLineChars="200"/>
        <w:rPr>
          <w:rFonts w:ascii="仿宋_GB2312" w:eastAsia="仿宋_GB2312"/>
          <w:sz w:val="30"/>
          <w:szCs w:val="30"/>
        </w:rPr>
      </w:pPr>
      <w:r>
        <w:rPr>
          <w:rFonts w:hint="eastAsia" w:ascii="仿宋_GB2312" w:eastAsia="仿宋_GB2312"/>
          <w:b/>
          <w:sz w:val="30"/>
          <w:szCs w:val="30"/>
        </w:rPr>
        <w:t>第三十三条</w:t>
      </w:r>
      <w:r>
        <w:rPr>
          <w:rFonts w:hint="eastAsia" w:ascii="仿宋_GB2312" w:eastAsia="仿宋_GB2312"/>
          <w:sz w:val="30"/>
          <w:szCs w:val="30"/>
        </w:rPr>
        <w:t xml:space="preserve"> 交割期。交割期原则上按照双方合同约定执行，如无特殊情况，销售合同和采购合同的出入库期限以交易清单为准。如中标方不能按期出库，须于出库到期日前5个工作日事先与委托方协商延期事宜，协商达成一致，双方可签订延期出库协议，落实延期时间，同时对延期期间出库的粮油按照分段累进的方式收取保管费：逾期5日（含）以内为1元/吨/日；5日以上至10日（含）为2元/吨/日；10日以上至20日（含）为3元/吨/日，</w:t>
      </w:r>
      <w:r>
        <w:rPr>
          <w:rFonts w:hint="eastAsia" w:ascii="仿宋_GB2312" w:eastAsia="仿宋_GB2312"/>
          <w:sz w:val="28"/>
          <w:szCs w:val="28"/>
        </w:rPr>
        <w:t>20日以上为4元/吨/日</w:t>
      </w:r>
      <w:r>
        <w:rPr>
          <w:rFonts w:hint="eastAsia" w:ascii="仿宋_GB2312" w:eastAsia="仿宋_GB2312"/>
          <w:sz w:val="30"/>
          <w:szCs w:val="30"/>
        </w:rPr>
        <w:t>。协商未达成的，按责任方违约处理（买方逾期提货或者付款，经卖方书面催告，买方在催告期内仍未履行付款或提货义务的，卖方有权解除本合同，另行处置货物）。</w:t>
      </w:r>
    </w:p>
    <w:p>
      <w:pPr>
        <w:tabs>
          <w:tab w:val="left" w:pos="-180"/>
          <w:tab w:val="left" w:pos="2012"/>
        </w:tabs>
        <w:ind w:firstLine="602" w:firstLineChars="200"/>
        <w:rPr>
          <w:rFonts w:ascii="仿宋_GB2312" w:eastAsia="仿宋_GB2312"/>
          <w:sz w:val="30"/>
          <w:szCs w:val="30"/>
        </w:rPr>
      </w:pPr>
      <w:r>
        <w:rPr>
          <w:rFonts w:hint="eastAsia" w:ascii="仿宋_GB2312" w:eastAsia="仿宋_GB2312"/>
          <w:b/>
          <w:sz w:val="30"/>
          <w:szCs w:val="30"/>
        </w:rPr>
        <w:t>第三十四条</w:t>
      </w:r>
      <w:r>
        <w:rPr>
          <w:rFonts w:hint="eastAsia" w:ascii="仿宋_GB2312" w:eastAsia="仿宋_GB2312"/>
          <w:sz w:val="30"/>
          <w:szCs w:val="30"/>
        </w:rPr>
        <w:t xml:space="preserve"> </w:t>
      </w:r>
      <w:r>
        <w:rPr>
          <w:rFonts w:hint="eastAsia" w:ascii="仿宋_GB2312" w:eastAsia="仿宋_GB2312"/>
          <w:sz w:val="28"/>
          <w:szCs w:val="28"/>
        </w:rPr>
        <w:t>货</w:t>
      </w:r>
      <w:r>
        <w:rPr>
          <w:rFonts w:hint="eastAsia" w:ascii="仿宋_GB2312" w:eastAsia="仿宋_GB2312"/>
          <w:sz w:val="30"/>
          <w:szCs w:val="30"/>
        </w:rPr>
        <w:t>物验收。验收包括质量验收和数量验收。数量、质量均以交易标的实物为准。</w:t>
      </w:r>
    </w:p>
    <w:p>
      <w:pPr>
        <w:tabs>
          <w:tab w:val="left" w:pos="-180"/>
          <w:tab w:val="left" w:pos="2012"/>
        </w:tabs>
        <w:ind w:firstLine="600" w:firstLineChars="200"/>
        <w:rPr>
          <w:rFonts w:ascii="仿宋_GB2312" w:eastAsia="仿宋_GB2312"/>
          <w:sz w:val="30"/>
          <w:szCs w:val="30"/>
        </w:rPr>
      </w:pPr>
      <w:r>
        <w:rPr>
          <w:rFonts w:hint="eastAsia" w:ascii="仿宋_GB2312" w:eastAsia="仿宋_GB2312"/>
          <w:color w:val="000000" w:themeColor="text1"/>
          <w:sz w:val="30"/>
          <w:szCs w:val="30"/>
        </w:rPr>
        <w:t>采购粮油质量标准：轮入菜籽油应为2021</w:t>
      </w:r>
      <w:r>
        <w:rPr>
          <w:rFonts w:hint="eastAsia" w:ascii="仿宋_GB2312" w:eastAsia="仿宋_GB2312"/>
          <w:color w:val="000000" w:themeColor="text1"/>
          <w:sz w:val="30"/>
          <w:szCs w:val="30"/>
          <w:lang w:eastAsia="zh-CN"/>
        </w:rPr>
        <w:t>或</w:t>
      </w:r>
      <w:r>
        <w:rPr>
          <w:rFonts w:hint="eastAsia" w:ascii="仿宋_GB2312" w:eastAsia="仿宋_GB2312"/>
          <w:color w:val="000000" w:themeColor="text1"/>
          <w:sz w:val="30"/>
          <w:szCs w:val="30"/>
          <w:lang w:val="en-US" w:eastAsia="zh-CN"/>
        </w:rPr>
        <w:t>2022</w:t>
      </w:r>
      <w:r>
        <w:rPr>
          <w:rFonts w:hint="eastAsia" w:ascii="仿宋_GB2312" w:eastAsia="仿宋_GB2312"/>
          <w:color w:val="000000" w:themeColor="text1"/>
          <w:sz w:val="30"/>
          <w:szCs w:val="30"/>
        </w:rPr>
        <w:t>年度新产菜籽油，质量应符合国家食品安全相关规定及GB/T 1536四级菜籽油质量标准，同时要求：1.0&lt;酸价（KOH)/(mg/g)</w:t>
      </w:r>
      <w:r>
        <w:rPr>
          <w:rFonts w:ascii="仿宋_GB2312" w:eastAsia="仿宋_GB2312"/>
          <w:color w:val="000000" w:themeColor="text1"/>
          <w:sz w:val="30"/>
          <w:szCs w:val="30"/>
        </w:rPr>
        <w:t>≤</w:t>
      </w:r>
      <w:r>
        <w:rPr>
          <w:rFonts w:hint="eastAsia" w:ascii="仿宋_GB2312" w:eastAsia="仿宋_GB2312"/>
          <w:color w:val="000000" w:themeColor="text1"/>
          <w:sz w:val="30"/>
          <w:szCs w:val="30"/>
        </w:rPr>
        <w:t>1.8 mg/g,过氧化值</w:t>
      </w:r>
      <w:r>
        <w:rPr>
          <w:rFonts w:ascii="仿宋_GB2312" w:eastAsia="仿宋_GB2312"/>
          <w:color w:val="000000" w:themeColor="text1"/>
          <w:sz w:val="30"/>
          <w:szCs w:val="30"/>
        </w:rPr>
        <w:t>≤</w:t>
      </w:r>
      <w:r>
        <w:rPr>
          <w:rFonts w:hint="eastAsia" w:ascii="仿宋_GB2312" w:eastAsia="仿宋_GB2312"/>
          <w:color w:val="000000" w:themeColor="text1"/>
          <w:sz w:val="30"/>
          <w:szCs w:val="30"/>
        </w:rPr>
        <w:t>2.5mmol/kg,且达到泡沫实验要求：即将300毫升油和250克花生米，放入内径为17厘米的容器中，再用1000瓦热源缓慢加热至160℃（中途不得搅拌），泡沫不得铺锅</w:t>
      </w:r>
      <w:r>
        <w:rPr>
          <w:rFonts w:hint="eastAsia" w:ascii="仿宋_GB2312" w:eastAsia="仿宋_GB2312"/>
          <w:color w:val="000000" w:themeColor="text1"/>
          <w:sz w:val="30"/>
          <w:szCs w:val="30"/>
          <w:lang w:val="en-US" w:eastAsia="zh-CN"/>
        </w:rPr>
        <w:t>(菜籽油中不得掺有棉籽油）</w:t>
      </w:r>
      <w:r>
        <w:rPr>
          <w:rFonts w:hint="eastAsia" w:ascii="仿宋_GB2312" w:eastAsia="仿宋_GB2312"/>
          <w:color w:val="000000" w:themeColor="text1"/>
          <w:sz w:val="30"/>
          <w:szCs w:val="30"/>
        </w:rPr>
        <w:t>。</w:t>
      </w:r>
      <w:r>
        <w:rPr>
          <w:rFonts w:hint="eastAsia" w:ascii="仿宋_GB2312" w:eastAsia="仿宋_GB2312"/>
          <w:sz w:val="30"/>
          <w:szCs w:val="30"/>
        </w:rPr>
        <w:t>中标方送货时，货物质量初检以实际交收地点出具的检验报告和重庆具有国家资质的专业质检机构检测的塑化剂指标为准，综合验收以重庆具有国家资质的专业质检机构出具的报告为准。交货时中标方与委托方共同取样封存，双方签封的样品由双方各持一份。</w:t>
      </w:r>
    </w:p>
    <w:p>
      <w:pPr>
        <w:tabs>
          <w:tab w:val="left" w:pos="-180"/>
          <w:tab w:val="left" w:pos="2012"/>
        </w:tabs>
        <w:ind w:firstLine="600" w:firstLineChars="200"/>
        <w:rPr>
          <w:rFonts w:ascii="仿宋_GB2312" w:eastAsia="仿宋_GB2312"/>
          <w:sz w:val="30"/>
          <w:szCs w:val="30"/>
        </w:rPr>
      </w:pPr>
      <w:r>
        <w:rPr>
          <w:rFonts w:hint="eastAsia" w:ascii="仿宋_GB2312" w:eastAsia="仿宋_GB2312"/>
          <w:sz w:val="30"/>
          <w:szCs w:val="30"/>
        </w:rPr>
        <w:t>中标方或委托方对所提货物数量有异议的，应在货物交付后 10个工作日内以书面形式提出，逾期视为足量交货；委托方对所收货物质量有异议的，应在货物</w:t>
      </w:r>
      <w:r>
        <w:rPr>
          <w:rFonts w:hint="eastAsia" w:ascii="仿宋_GB2312" w:eastAsia="仿宋_GB2312"/>
          <w:color w:val="000000" w:themeColor="text1"/>
          <w:sz w:val="30"/>
          <w:szCs w:val="30"/>
        </w:rPr>
        <w:t>质量初检</w:t>
      </w:r>
      <w:r>
        <w:rPr>
          <w:rFonts w:hint="eastAsia" w:ascii="仿宋_GB2312" w:eastAsia="仿宋_GB2312"/>
          <w:sz w:val="30"/>
          <w:szCs w:val="30"/>
        </w:rPr>
        <w:t>后 10个工作日内以书面形式提出，逾期视为货物合格；如货物质量问题属于委托方在上述期间内无法通过合理方式发现的隐藏瑕疵则不受此限。</w:t>
      </w:r>
    </w:p>
    <w:p>
      <w:pPr>
        <w:tabs>
          <w:tab w:val="left" w:pos="-180"/>
          <w:tab w:val="left" w:pos="2012"/>
        </w:tabs>
        <w:ind w:firstLine="600" w:firstLineChars="200"/>
        <w:rPr>
          <w:rFonts w:ascii="仿宋_GB2312" w:eastAsia="仿宋_GB2312"/>
          <w:sz w:val="30"/>
          <w:szCs w:val="30"/>
        </w:rPr>
      </w:pPr>
      <w:r>
        <w:rPr>
          <w:rFonts w:hint="eastAsia" w:ascii="仿宋_GB2312" w:eastAsia="仿宋_GB2312"/>
          <w:sz w:val="30"/>
          <w:szCs w:val="30"/>
        </w:rPr>
        <w:t>所用计量衡器以委托方库内计量衡器（入库采用油罐打尺计量，出库采用地磅计量）为准，但该衡器必须是经具有国家认可资质的</w:t>
      </w:r>
      <w:r>
        <w:rPr>
          <w:rFonts w:hint="eastAsia" w:ascii="仿宋_GB2312" w:eastAsia="仿宋_GB2312"/>
          <w:color w:val="000000" w:themeColor="text1"/>
          <w:sz w:val="30"/>
          <w:szCs w:val="30"/>
        </w:rPr>
        <w:t>机构</w:t>
      </w:r>
      <w:r>
        <w:rPr>
          <w:rFonts w:hint="eastAsia" w:ascii="仿宋_GB2312" w:eastAsia="仿宋_GB2312"/>
          <w:sz w:val="30"/>
          <w:szCs w:val="30"/>
        </w:rPr>
        <w:t>鉴定合格、并在鉴定的有效期内。双方必须接受对方对所用计量衡器准确性进行确认的行为。如有异议，立即停止发运，双方协商</w:t>
      </w:r>
      <w:r>
        <w:rPr>
          <w:rFonts w:hint="eastAsia" w:ascii="仿宋_GB2312" w:eastAsia="仿宋_GB2312"/>
          <w:color w:val="000000" w:themeColor="text1"/>
          <w:sz w:val="30"/>
          <w:szCs w:val="30"/>
        </w:rPr>
        <w:t>，必要时由双方认可有资质的第三方计量鉴定机构重新鉴定，费用由过错方承担</w:t>
      </w:r>
      <w:r>
        <w:rPr>
          <w:rFonts w:hint="eastAsia" w:ascii="仿宋_GB2312" w:eastAsia="仿宋_GB2312"/>
          <w:sz w:val="30"/>
          <w:szCs w:val="30"/>
        </w:rPr>
        <w:t>。</w:t>
      </w:r>
    </w:p>
    <w:p>
      <w:pPr>
        <w:tabs>
          <w:tab w:val="left" w:pos="-180"/>
          <w:tab w:val="left" w:pos="1303"/>
        </w:tabs>
        <w:ind w:firstLine="602" w:firstLineChars="200"/>
        <w:rPr>
          <w:rFonts w:ascii="仿宋_GB2312" w:eastAsia="仿宋_GB2312"/>
          <w:sz w:val="30"/>
          <w:szCs w:val="30"/>
        </w:rPr>
      </w:pPr>
      <w:r>
        <w:rPr>
          <w:rFonts w:hint="eastAsia" w:ascii="仿宋_GB2312" w:eastAsia="仿宋_GB2312"/>
          <w:b/>
          <w:sz w:val="30"/>
          <w:szCs w:val="30"/>
        </w:rPr>
        <w:t>第三十五条</w:t>
      </w:r>
      <w:r>
        <w:rPr>
          <w:rFonts w:hint="eastAsia" w:ascii="仿宋_GB2312" w:eastAsia="仿宋_GB2312"/>
          <w:sz w:val="30"/>
          <w:szCs w:val="30"/>
        </w:rPr>
        <w:t xml:space="preserve"> 交易结算。委托方（中标方）在交提货完毕后5个工作日内根据国家有关政策规定开具增值税专用发票。交易中心在销售合同和采购合同货款结算并支付完毕后释放会员保证金。</w:t>
      </w:r>
    </w:p>
    <w:p>
      <w:pPr>
        <w:tabs>
          <w:tab w:val="left" w:pos="-180"/>
          <w:tab w:val="left" w:pos="2012"/>
        </w:tabs>
        <w:ind w:firstLine="602" w:firstLineChars="200"/>
        <w:rPr>
          <w:rFonts w:ascii="仿宋_GB2312" w:eastAsia="仿宋_GB2312"/>
          <w:sz w:val="30"/>
          <w:szCs w:val="30"/>
        </w:rPr>
      </w:pPr>
      <w:r>
        <w:rPr>
          <w:rFonts w:hint="eastAsia" w:ascii="仿宋_GB2312" w:eastAsia="仿宋_GB2312"/>
          <w:b/>
          <w:sz w:val="30"/>
          <w:szCs w:val="30"/>
        </w:rPr>
        <w:t>第三十六条</w:t>
      </w:r>
      <w:r>
        <w:rPr>
          <w:rFonts w:hint="eastAsia" w:ascii="仿宋_GB2312" w:eastAsia="仿宋_GB2312"/>
          <w:sz w:val="30"/>
          <w:szCs w:val="30"/>
        </w:rPr>
        <w:t xml:space="preserve"> 交割异议。交割过程中双方对所交割货物出现异议的，由中标方和委托方先行协商。协商不能解决的，在交割期内向交易中心提交商务调解申请，交易中心接到商务调解申请及举证材料后，及时进行材料核实，并出具调解结果。双方认同调解结果的，应遵照调解结果执行；经协商或调解未达成一致的，各方可通过其他法律途径解决。</w:t>
      </w:r>
    </w:p>
    <w:p>
      <w:pPr>
        <w:tabs>
          <w:tab w:val="left" w:pos="-180"/>
          <w:tab w:val="left" w:pos="2012"/>
        </w:tabs>
        <w:ind w:firstLine="602" w:firstLineChars="200"/>
        <w:rPr>
          <w:rFonts w:ascii="仿宋_GB2312" w:eastAsia="仿宋_GB2312"/>
          <w:sz w:val="30"/>
          <w:szCs w:val="30"/>
        </w:rPr>
      </w:pPr>
      <w:r>
        <w:rPr>
          <w:rFonts w:hint="eastAsia" w:ascii="仿宋_GB2312" w:eastAsia="仿宋_GB2312"/>
          <w:b/>
          <w:sz w:val="30"/>
          <w:szCs w:val="30"/>
        </w:rPr>
        <w:t>第三十七条</w:t>
      </w:r>
      <w:r>
        <w:rPr>
          <w:rFonts w:hint="eastAsia" w:ascii="仿宋_GB2312" w:eastAsia="仿宋_GB2312"/>
          <w:sz w:val="30"/>
          <w:szCs w:val="30"/>
        </w:rPr>
        <w:t xml:space="preserve"> 解约。双方协商均同意终止合同时，经交易中心核实，双方可解约，交易中心在双方合同解除，相应款项已经结算并支付后5个工作日内退回保证金。</w:t>
      </w:r>
    </w:p>
    <w:p>
      <w:pPr>
        <w:pStyle w:val="8"/>
        <w:spacing w:beforeAutospacing="0" w:afterAutospacing="0" w:line="594" w:lineRule="exact"/>
        <w:ind w:firstLine="602" w:firstLineChars="200"/>
        <w:rPr>
          <w:rFonts w:ascii="仿宋_GB2312" w:eastAsia="仿宋_GB2312"/>
          <w:sz w:val="30"/>
          <w:szCs w:val="30"/>
        </w:rPr>
      </w:pPr>
      <w:r>
        <w:rPr>
          <w:rFonts w:hint="eastAsia" w:ascii="仿宋_GB2312" w:eastAsia="仿宋_GB2312"/>
          <w:b/>
          <w:sz w:val="30"/>
          <w:szCs w:val="30"/>
        </w:rPr>
        <w:t>第三十八条</w:t>
      </w:r>
      <w:r>
        <w:rPr>
          <w:rFonts w:hint="eastAsia" w:ascii="仿宋_GB2312" w:eastAsia="仿宋_GB2312"/>
          <w:sz w:val="30"/>
          <w:szCs w:val="30"/>
        </w:rPr>
        <w:t xml:space="preserve"> 会员出金。凭会员的退款申请单，经交易中心核实后，2个工作</w:t>
      </w:r>
      <w:r>
        <w:rPr>
          <w:rFonts w:hint="eastAsia" w:ascii="仿宋_GB2312" w:eastAsia="仿宋_GB2312"/>
          <w:sz w:val="30"/>
          <w:szCs w:val="30"/>
          <w:lang w:val="zh-CN"/>
        </w:rPr>
        <w:t>日内退回</w:t>
      </w:r>
      <w:r>
        <w:rPr>
          <w:rFonts w:hint="eastAsia" w:ascii="仿宋_GB2312" w:eastAsia="仿宋_GB2312"/>
          <w:sz w:val="30"/>
          <w:szCs w:val="30"/>
        </w:rPr>
        <w:t>。</w:t>
      </w:r>
    </w:p>
    <w:p>
      <w:pPr>
        <w:tabs>
          <w:tab w:val="left" w:pos="-180"/>
        </w:tabs>
        <w:ind w:firstLine="600" w:firstLineChars="200"/>
        <w:rPr>
          <w:rFonts w:ascii="仿宋_GB2312" w:eastAsia="仿宋_GB2312"/>
          <w:sz w:val="30"/>
          <w:szCs w:val="30"/>
        </w:rPr>
      </w:pPr>
    </w:p>
    <w:p>
      <w:pPr>
        <w:numPr>
          <w:ilvl w:val="0"/>
          <w:numId w:val="2"/>
        </w:numPr>
        <w:tabs>
          <w:tab w:val="left" w:pos="-180"/>
        </w:tabs>
        <w:ind w:firstLine="755"/>
        <w:jc w:val="center"/>
        <w:rPr>
          <w:rFonts w:ascii="黑体" w:hAnsi="黑体" w:eastAsia="黑体"/>
          <w:sz w:val="32"/>
          <w:szCs w:val="32"/>
        </w:rPr>
      </w:pPr>
      <w:r>
        <w:rPr>
          <w:rFonts w:hint="eastAsia" w:ascii="黑体" w:hAnsi="黑体" w:eastAsia="黑体"/>
          <w:sz w:val="32"/>
          <w:szCs w:val="32"/>
        </w:rPr>
        <w:t>违约行为及处理</w:t>
      </w:r>
    </w:p>
    <w:p>
      <w:pPr>
        <w:pStyle w:val="2"/>
      </w:pPr>
    </w:p>
    <w:p>
      <w:pPr>
        <w:tabs>
          <w:tab w:val="left" w:pos="-180"/>
          <w:tab w:val="left" w:pos="2012"/>
        </w:tabs>
        <w:ind w:firstLine="602" w:firstLineChars="200"/>
        <w:rPr>
          <w:rFonts w:ascii="仿宋_GB2312" w:eastAsia="仿宋_GB2312"/>
          <w:sz w:val="30"/>
          <w:szCs w:val="30"/>
        </w:rPr>
      </w:pPr>
      <w:r>
        <w:rPr>
          <w:rFonts w:hint="eastAsia" w:ascii="仿宋_GB2312" w:eastAsia="仿宋_GB2312"/>
          <w:b/>
          <w:sz w:val="30"/>
          <w:szCs w:val="30"/>
        </w:rPr>
        <w:t>第三十九条</w:t>
      </w:r>
      <w:r>
        <w:rPr>
          <w:rFonts w:hint="eastAsia" w:ascii="仿宋_GB2312" w:eastAsia="仿宋_GB2312"/>
          <w:sz w:val="30"/>
          <w:szCs w:val="30"/>
        </w:rPr>
        <w:t xml:space="preserve"> 违约是指会员违反《竞价专场交易细则》及双方签订的交易合同或交易中心相关规定的行为。包括但不限于：</w:t>
      </w:r>
    </w:p>
    <w:p>
      <w:pPr>
        <w:tabs>
          <w:tab w:val="left" w:pos="-180"/>
        </w:tabs>
        <w:ind w:firstLine="600" w:firstLineChars="200"/>
        <w:rPr>
          <w:rFonts w:ascii="仿宋_GB2312" w:eastAsia="仿宋_GB2312"/>
          <w:sz w:val="30"/>
          <w:szCs w:val="30"/>
        </w:rPr>
      </w:pPr>
      <w:r>
        <w:rPr>
          <w:rFonts w:hint="eastAsia" w:ascii="仿宋_GB2312" w:eastAsia="仿宋_GB2312"/>
          <w:sz w:val="30"/>
          <w:szCs w:val="30"/>
        </w:rPr>
        <w:t>（一）不履行或不完全履行成交合同义务的行为；</w:t>
      </w:r>
    </w:p>
    <w:p>
      <w:pPr>
        <w:tabs>
          <w:tab w:val="left" w:pos="-180"/>
        </w:tabs>
        <w:ind w:firstLine="600" w:firstLineChars="200"/>
        <w:rPr>
          <w:rFonts w:ascii="仿宋_GB2312" w:eastAsia="仿宋_GB2312"/>
          <w:sz w:val="30"/>
          <w:szCs w:val="30"/>
        </w:rPr>
      </w:pPr>
      <w:r>
        <w:rPr>
          <w:rFonts w:hint="eastAsia" w:ascii="仿宋_GB2312" w:eastAsia="仿宋_GB2312"/>
          <w:sz w:val="30"/>
          <w:szCs w:val="30"/>
        </w:rPr>
        <w:t>（二）对双方认可的交易中心调解结果不履行或不完全履行该调解结果的行为；</w:t>
      </w:r>
    </w:p>
    <w:p>
      <w:pPr>
        <w:tabs>
          <w:tab w:val="left" w:pos="-180"/>
        </w:tabs>
        <w:ind w:firstLine="600" w:firstLineChars="200"/>
        <w:rPr>
          <w:rFonts w:ascii="仿宋_GB2312" w:eastAsia="仿宋_GB2312"/>
          <w:sz w:val="30"/>
          <w:szCs w:val="30"/>
        </w:rPr>
      </w:pPr>
      <w:r>
        <w:rPr>
          <w:rFonts w:hint="eastAsia" w:ascii="仿宋_GB2312" w:eastAsia="仿宋_GB2312"/>
          <w:sz w:val="30"/>
          <w:szCs w:val="30"/>
        </w:rPr>
        <w:t>（三）进行虚假交易，恶意串通操纵价格或竞价过程，；</w:t>
      </w:r>
    </w:p>
    <w:p>
      <w:pPr>
        <w:tabs>
          <w:tab w:val="left" w:pos="-180"/>
        </w:tabs>
        <w:ind w:firstLine="600" w:firstLineChars="200"/>
        <w:rPr>
          <w:rFonts w:ascii="仿宋_GB2312" w:eastAsia="仿宋_GB2312"/>
          <w:sz w:val="30"/>
          <w:szCs w:val="30"/>
        </w:rPr>
      </w:pPr>
      <w:r>
        <w:rPr>
          <w:rFonts w:hint="eastAsia" w:ascii="仿宋_GB2312" w:eastAsia="仿宋_GB2312"/>
          <w:sz w:val="30"/>
          <w:szCs w:val="30"/>
        </w:rPr>
        <w:t>（四）违反交易中心各项规则、细则及管理办法的行为；</w:t>
      </w:r>
    </w:p>
    <w:p>
      <w:pPr>
        <w:tabs>
          <w:tab w:val="left" w:pos="-180"/>
        </w:tabs>
        <w:ind w:firstLine="600" w:firstLineChars="200"/>
        <w:rPr>
          <w:rFonts w:ascii="仿宋_GB2312" w:eastAsia="仿宋_GB2312"/>
          <w:sz w:val="30"/>
          <w:szCs w:val="30"/>
        </w:rPr>
      </w:pPr>
      <w:r>
        <w:rPr>
          <w:rFonts w:hint="eastAsia" w:ascii="仿宋_GB2312" w:eastAsia="仿宋_GB2312"/>
          <w:sz w:val="30"/>
          <w:szCs w:val="30"/>
        </w:rPr>
        <w:t>（五）恶意攻击交易中心，危及交易中心安全，发表负面言论对其他会员造成误导；</w:t>
      </w:r>
    </w:p>
    <w:p>
      <w:pPr>
        <w:tabs>
          <w:tab w:val="left" w:pos="-180"/>
        </w:tabs>
        <w:ind w:firstLine="600" w:firstLineChars="200"/>
        <w:rPr>
          <w:rFonts w:ascii="仿宋_GB2312" w:eastAsia="仿宋_GB2312"/>
          <w:sz w:val="30"/>
          <w:szCs w:val="30"/>
        </w:rPr>
      </w:pPr>
      <w:r>
        <w:rPr>
          <w:rFonts w:hint="eastAsia" w:ascii="仿宋_GB2312" w:eastAsia="仿宋_GB2312"/>
          <w:sz w:val="30"/>
          <w:szCs w:val="30"/>
        </w:rPr>
        <w:t>（六）违反国家粮食流通相关法规政策等情形。</w:t>
      </w:r>
    </w:p>
    <w:p>
      <w:pPr>
        <w:tabs>
          <w:tab w:val="left" w:pos="-180"/>
          <w:tab w:val="left" w:pos="2012"/>
        </w:tabs>
        <w:ind w:firstLine="600" w:firstLineChars="200"/>
        <w:rPr>
          <w:rFonts w:ascii="仿宋_GB2312" w:eastAsia="仿宋_GB2312"/>
          <w:sz w:val="30"/>
          <w:szCs w:val="30"/>
        </w:rPr>
      </w:pPr>
      <w:r>
        <w:rPr>
          <w:rFonts w:hint="eastAsia" w:ascii="仿宋_GB2312" w:eastAsia="仿宋_GB2312"/>
          <w:sz w:val="30"/>
          <w:szCs w:val="30"/>
        </w:rPr>
        <w:t>（七）非因委托方原因，中标方拒不执行合同，即为中标方违约。</w:t>
      </w:r>
    </w:p>
    <w:p>
      <w:pPr>
        <w:tabs>
          <w:tab w:val="left" w:pos="-180"/>
          <w:tab w:val="left" w:pos="2012"/>
        </w:tabs>
        <w:ind w:firstLine="600" w:firstLineChars="200"/>
        <w:rPr>
          <w:rFonts w:ascii="仿宋_GB2312" w:eastAsia="仿宋_GB2312"/>
          <w:sz w:val="30"/>
          <w:szCs w:val="30"/>
        </w:rPr>
      </w:pPr>
      <w:r>
        <w:rPr>
          <w:rFonts w:hint="eastAsia" w:ascii="仿宋_GB2312" w:eastAsia="仿宋_GB2312"/>
          <w:sz w:val="30"/>
          <w:szCs w:val="30"/>
        </w:rPr>
        <w:t>违约金分两种情况执行。合同执行期内做违约处理（即，合同履行期内，中标方以其行为明示或默示不再履行合同约定或履行义务不符合合同约定等情况）的，违约金额度为交易中心对应合同冻结的保证金；合同执行期外违约处理（即，合同履行期限届满后，中标方仍未按照合同约定全面、及时履行合同义务）的，除</w:t>
      </w:r>
      <w:r>
        <w:rPr>
          <w:rFonts w:hint="eastAsia" w:ascii="仿宋_GB2312" w:eastAsia="仿宋_GB2312"/>
          <w:sz w:val="30"/>
          <w:szCs w:val="30"/>
          <w:lang w:eastAsia="zh-CN"/>
        </w:rPr>
        <w:t>扣除</w:t>
      </w:r>
      <w:r>
        <w:rPr>
          <w:rFonts w:hint="eastAsia" w:ascii="仿宋_GB2312" w:eastAsia="仿宋_GB2312"/>
          <w:sz w:val="30"/>
          <w:szCs w:val="30"/>
        </w:rPr>
        <w:t>交易中心冻结的保证金以外，委托方有权按以下标准进一步向</w:t>
      </w:r>
      <w:bookmarkStart w:id="3" w:name="OLE_LINK3"/>
      <w:r>
        <w:rPr>
          <w:rFonts w:hint="eastAsia" w:ascii="仿宋_GB2312" w:eastAsia="仿宋_GB2312"/>
          <w:sz w:val="30"/>
          <w:szCs w:val="30"/>
        </w:rPr>
        <w:t>中标</w:t>
      </w:r>
      <w:bookmarkEnd w:id="3"/>
      <w:r>
        <w:rPr>
          <w:rFonts w:hint="eastAsia" w:ascii="仿宋_GB2312" w:eastAsia="仿宋_GB2312"/>
          <w:sz w:val="30"/>
          <w:szCs w:val="30"/>
        </w:rPr>
        <w:t>方追偿，中标方应当承担以下违约责任：</w:t>
      </w:r>
    </w:p>
    <w:p>
      <w:pPr>
        <w:tabs>
          <w:tab w:val="left" w:pos="-180"/>
          <w:tab w:val="left" w:pos="2012"/>
        </w:tabs>
        <w:ind w:firstLine="600" w:firstLineChars="200"/>
        <w:rPr>
          <w:rFonts w:ascii="仿宋_GB2312" w:eastAsia="仿宋_GB2312"/>
          <w:sz w:val="30"/>
          <w:szCs w:val="30"/>
        </w:rPr>
      </w:pPr>
      <w:r>
        <w:rPr>
          <w:rFonts w:hint="eastAsia" w:ascii="仿宋_GB2312" w:eastAsia="仿宋_GB2312"/>
          <w:sz w:val="30"/>
          <w:szCs w:val="30"/>
        </w:rPr>
        <w:t>1、每逾期1天，中标方应就未支付款项按照每天0.6‰的标准，向委托方支付违约金。</w:t>
      </w:r>
    </w:p>
    <w:p>
      <w:pPr>
        <w:tabs>
          <w:tab w:val="left" w:pos="-180"/>
          <w:tab w:val="left" w:pos="2012"/>
        </w:tabs>
        <w:ind w:firstLine="600" w:firstLineChars="200"/>
        <w:rPr>
          <w:rFonts w:ascii="仿宋_GB2312" w:eastAsia="仿宋_GB2312"/>
          <w:sz w:val="30"/>
          <w:szCs w:val="30"/>
        </w:rPr>
      </w:pPr>
      <w:r>
        <w:rPr>
          <w:rFonts w:hint="eastAsia" w:ascii="仿宋_GB2312" w:eastAsia="仿宋_GB2312"/>
          <w:sz w:val="30"/>
          <w:szCs w:val="30"/>
        </w:rPr>
        <w:t>2、逾期未提取货物的，中标方应向委托方支付逾期违约金，逾期违约金采用分段累进的方式计算：逾期5日（含）以内为1元/吨/日；5日以上至10日（含）为2元/吨/日；10日以上至20日（含）为3元/吨/日，20日以上为4元/吨/日。</w:t>
      </w:r>
    </w:p>
    <w:p>
      <w:pPr>
        <w:tabs>
          <w:tab w:val="left" w:pos="-180"/>
        </w:tabs>
        <w:ind w:firstLine="600" w:firstLineChars="200"/>
        <w:rPr>
          <w:rFonts w:ascii="仿宋_GB2312" w:eastAsia="仿宋_GB2312"/>
          <w:sz w:val="30"/>
          <w:szCs w:val="30"/>
        </w:rPr>
      </w:pPr>
      <w:r>
        <w:rPr>
          <w:rFonts w:hint="eastAsia" w:ascii="仿宋_GB2312" w:eastAsia="仿宋_GB2312"/>
          <w:sz w:val="30"/>
          <w:szCs w:val="30"/>
        </w:rPr>
        <w:t>追偿违约金支付方式：通过线下向委托方指定账户进行违约金足额汇划。</w:t>
      </w:r>
    </w:p>
    <w:p>
      <w:pPr>
        <w:tabs>
          <w:tab w:val="left" w:pos="-180"/>
        </w:tabs>
        <w:ind w:firstLine="602" w:firstLineChars="200"/>
        <w:rPr>
          <w:rFonts w:ascii="仿宋_GB2312" w:eastAsia="仿宋_GB2312"/>
          <w:sz w:val="30"/>
          <w:szCs w:val="30"/>
        </w:rPr>
      </w:pPr>
      <w:r>
        <w:rPr>
          <w:rFonts w:hint="eastAsia" w:ascii="仿宋_GB2312" w:eastAsia="仿宋_GB2312"/>
          <w:b/>
          <w:sz w:val="30"/>
          <w:szCs w:val="30"/>
        </w:rPr>
        <w:t>第四十条</w:t>
      </w:r>
      <w:r>
        <w:rPr>
          <w:rFonts w:hint="eastAsia" w:ascii="仿宋_GB2312" w:eastAsia="仿宋_GB2312"/>
          <w:sz w:val="30"/>
          <w:szCs w:val="30"/>
        </w:rPr>
        <w:t xml:space="preserve"> 违约处理办法</w:t>
      </w:r>
    </w:p>
    <w:p>
      <w:pPr>
        <w:tabs>
          <w:tab w:val="left" w:pos="-180"/>
        </w:tabs>
        <w:ind w:firstLine="600" w:firstLineChars="200"/>
        <w:rPr>
          <w:rFonts w:ascii="仿宋_GB2312" w:eastAsia="仿宋_GB2312"/>
          <w:sz w:val="30"/>
          <w:szCs w:val="30"/>
        </w:rPr>
      </w:pPr>
      <w:r>
        <w:rPr>
          <w:rFonts w:hint="eastAsia" w:ascii="仿宋_GB2312" w:eastAsia="仿宋_GB2312"/>
          <w:sz w:val="30"/>
          <w:szCs w:val="30"/>
        </w:rPr>
        <w:t>（一）交易中心有权对涉及违约会员的保证金进行清算，并将过错方的履约保证金划转至无过错方账户，交易保证金不予退还；</w:t>
      </w:r>
    </w:p>
    <w:p>
      <w:pPr>
        <w:tabs>
          <w:tab w:val="left" w:pos="-180"/>
        </w:tabs>
        <w:ind w:firstLine="600" w:firstLineChars="200"/>
        <w:rPr>
          <w:rFonts w:ascii="仿宋_GB2312" w:eastAsia="仿宋_GB2312"/>
          <w:sz w:val="30"/>
          <w:szCs w:val="30"/>
        </w:rPr>
      </w:pPr>
      <w:r>
        <w:rPr>
          <w:rFonts w:hint="eastAsia" w:ascii="仿宋_GB2312" w:eastAsia="仿宋_GB2312"/>
          <w:sz w:val="30"/>
          <w:szCs w:val="30"/>
        </w:rPr>
        <w:t>（二）交易中心将清算结果通知相关会员；</w:t>
      </w:r>
    </w:p>
    <w:p>
      <w:pPr>
        <w:ind w:firstLine="600" w:firstLineChars="200"/>
        <w:rPr>
          <w:rFonts w:ascii="仿宋_GB2312" w:eastAsia="仿宋_GB2312"/>
          <w:sz w:val="30"/>
          <w:szCs w:val="30"/>
        </w:rPr>
      </w:pPr>
    </w:p>
    <w:p>
      <w:pPr>
        <w:numPr>
          <w:ilvl w:val="0"/>
          <w:numId w:val="2"/>
        </w:numPr>
        <w:tabs>
          <w:tab w:val="left" w:pos="-180"/>
        </w:tabs>
        <w:ind w:firstLine="755"/>
        <w:jc w:val="center"/>
        <w:rPr>
          <w:rFonts w:ascii="黑体" w:hAnsi="黑体" w:eastAsia="黑体"/>
          <w:sz w:val="32"/>
          <w:szCs w:val="32"/>
        </w:rPr>
      </w:pPr>
      <w:r>
        <w:rPr>
          <w:rFonts w:hint="eastAsia" w:ascii="黑体" w:hAnsi="黑体" w:eastAsia="黑体"/>
          <w:sz w:val="32"/>
          <w:szCs w:val="32"/>
        </w:rPr>
        <w:t>风险提示</w:t>
      </w:r>
    </w:p>
    <w:p>
      <w:pPr>
        <w:pStyle w:val="2"/>
      </w:pPr>
    </w:p>
    <w:p>
      <w:pPr>
        <w:tabs>
          <w:tab w:val="left" w:pos="-180"/>
          <w:tab w:val="left" w:pos="2012"/>
        </w:tabs>
        <w:ind w:firstLine="602" w:firstLineChars="200"/>
        <w:rPr>
          <w:rFonts w:ascii="仿宋_GB2312" w:eastAsia="仿宋_GB2312"/>
          <w:sz w:val="30"/>
          <w:szCs w:val="30"/>
        </w:rPr>
      </w:pPr>
      <w:r>
        <w:rPr>
          <w:rFonts w:hint="eastAsia" w:ascii="仿宋_GB2312" w:eastAsia="仿宋_GB2312"/>
          <w:b/>
          <w:sz w:val="30"/>
          <w:szCs w:val="30"/>
        </w:rPr>
        <w:t>第四十一条</w:t>
      </w:r>
      <w:r>
        <w:rPr>
          <w:rFonts w:hint="eastAsia" w:ascii="仿宋_GB2312" w:eastAsia="仿宋_GB2312"/>
          <w:sz w:val="30"/>
          <w:szCs w:val="30"/>
        </w:rPr>
        <w:t xml:space="preserve"> 交易中心所涉及的各项服务，可能会受到各个环节不稳定因素的影响（包括但不限于：计算机病毒或黑客攻击、系统不稳定、会员所在位置、移动网络、互联网络、通信线路、页面浏览器原因等），造成服务中断或不能满足会员要求的风险。交易中心的会员须承担以上风险，交易中心对因此导致会员不能发送和接收阅读信息、传输错误、未予储存或其它问题不承担任何责任。对于上述原因及不可抗力导致的用户数据损失、丢失或服务停止，交易中心将不承担任何责任。</w:t>
      </w:r>
    </w:p>
    <w:p>
      <w:pPr>
        <w:tabs>
          <w:tab w:val="left" w:pos="-180"/>
          <w:tab w:val="left" w:pos="2012"/>
        </w:tabs>
        <w:ind w:firstLine="602" w:firstLineChars="200"/>
        <w:rPr>
          <w:rFonts w:ascii="仿宋_GB2312" w:eastAsia="仿宋_GB2312"/>
          <w:sz w:val="30"/>
          <w:szCs w:val="30"/>
        </w:rPr>
      </w:pPr>
      <w:r>
        <w:rPr>
          <w:rFonts w:hint="eastAsia" w:ascii="仿宋_GB2312" w:eastAsia="仿宋_GB2312"/>
          <w:b/>
          <w:sz w:val="30"/>
          <w:szCs w:val="30"/>
        </w:rPr>
        <w:t>第四十二条</w:t>
      </w:r>
      <w:r>
        <w:rPr>
          <w:rFonts w:hint="eastAsia" w:ascii="仿宋_GB2312" w:eastAsia="仿宋_GB2312"/>
          <w:sz w:val="30"/>
          <w:szCs w:val="30"/>
        </w:rPr>
        <w:t xml:space="preserve"> 交易中心无法对会员的使用行为进行全面控制，因此对会员不做任何类型的担保。会员访问交易中心页面、下载资料或信息而导致该会员电脑系统损坏或资料丢失，其风险自行承担。</w:t>
      </w:r>
    </w:p>
    <w:p>
      <w:pPr>
        <w:tabs>
          <w:tab w:val="left" w:pos="-180"/>
        </w:tabs>
        <w:ind w:firstLine="602" w:firstLineChars="200"/>
        <w:rPr>
          <w:rFonts w:ascii="仿宋_GB2312" w:eastAsia="仿宋_GB2312"/>
          <w:sz w:val="30"/>
          <w:szCs w:val="30"/>
        </w:rPr>
      </w:pPr>
      <w:r>
        <w:rPr>
          <w:rFonts w:hint="eastAsia" w:ascii="仿宋_GB2312" w:eastAsia="仿宋_GB2312"/>
          <w:b/>
          <w:sz w:val="30"/>
          <w:szCs w:val="30"/>
        </w:rPr>
        <w:t xml:space="preserve">第四十三条 </w:t>
      </w:r>
      <w:r>
        <w:rPr>
          <w:rFonts w:hint="eastAsia" w:ascii="仿宋_GB2312" w:eastAsia="仿宋_GB2312"/>
          <w:sz w:val="30"/>
          <w:szCs w:val="30"/>
        </w:rPr>
        <w:t>交易中心性质是第三方交易平台，不是合同一方，交易中心对于会员所发布信息的合法性、真实性及履约交易能力等，不做任</w:t>
      </w:r>
      <w:bookmarkStart w:id="4" w:name="_GoBack"/>
      <w:bookmarkEnd w:id="4"/>
      <w:r>
        <w:rPr>
          <w:rFonts w:hint="eastAsia" w:ascii="仿宋_GB2312" w:eastAsia="仿宋_GB2312"/>
          <w:sz w:val="30"/>
          <w:szCs w:val="30"/>
        </w:rPr>
        <w:t>何担保，风险由会员自行承担。交易中心对交易双方产生的合同纠纷不承担任何责任。</w:t>
      </w:r>
    </w:p>
    <w:p>
      <w:pPr>
        <w:tabs>
          <w:tab w:val="left" w:pos="-180"/>
        </w:tabs>
        <w:ind w:firstLine="600" w:firstLineChars="200"/>
        <w:jc w:val="center"/>
        <w:rPr>
          <w:rFonts w:ascii="黑体" w:hAnsi="黑体" w:eastAsia="黑体"/>
          <w:sz w:val="30"/>
          <w:szCs w:val="30"/>
        </w:rPr>
      </w:pPr>
    </w:p>
    <w:p>
      <w:pPr>
        <w:tabs>
          <w:tab w:val="left" w:pos="-180"/>
        </w:tabs>
        <w:jc w:val="center"/>
        <w:rPr>
          <w:rFonts w:ascii="黑体" w:hAnsi="黑体" w:eastAsia="黑体"/>
          <w:sz w:val="32"/>
          <w:szCs w:val="32"/>
        </w:rPr>
      </w:pPr>
      <w:r>
        <w:rPr>
          <w:rFonts w:hint="eastAsia" w:ascii="黑体" w:hAnsi="黑体" w:eastAsia="黑体"/>
          <w:sz w:val="32"/>
          <w:szCs w:val="32"/>
        </w:rPr>
        <w:t>第九章 附则</w:t>
      </w:r>
    </w:p>
    <w:p>
      <w:pPr>
        <w:tabs>
          <w:tab w:val="left" w:pos="-180"/>
        </w:tabs>
        <w:ind w:firstLine="602" w:firstLineChars="200"/>
        <w:rPr>
          <w:rFonts w:ascii="仿宋_GB2312" w:eastAsia="仿宋_GB2312"/>
          <w:sz w:val="30"/>
          <w:szCs w:val="30"/>
        </w:rPr>
      </w:pPr>
      <w:r>
        <w:rPr>
          <w:rFonts w:hint="eastAsia" w:ascii="仿宋_GB2312" w:eastAsia="仿宋_GB2312"/>
          <w:b/>
          <w:sz w:val="30"/>
          <w:szCs w:val="30"/>
        </w:rPr>
        <w:t>第四十四条</w:t>
      </w:r>
      <w:r>
        <w:rPr>
          <w:rFonts w:hint="eastAsia" w:ascii="仿宋_GB2312" w:eastAsia="仿宋_GB2312"/>
          <w:sz w:val="30"/>
          <w:szCs w:val="30"/>
        </w:rPr>
        <w:t xml:space="preserve"> 本细则由交易中心负责解释。</w:t>
      </w:r>
    </w:p>
    <w:p>
      <w:pPr>
        <w:tabs>
          <w:tab w:val="left" w:pos="-180"/>
          <w:tab w:val="left" w:pos="2012"/>
        </w:tabs>
        <w:ind w:firstLine="602" w:firstLineChars="200"/>
        <w:rPr>
          <w:rFonts w:ascii="仿宋_GB2312" w:eastAsia="仿宋_GB2312"/>
          <w:sz w:val="30"/>
          <w:szCs w:val="30"/>
        </w:rPr>
      </w:pPr>
      <w:r>
        <w:rPr>
          <w:rFonts w:hint="eastAsia" w:ascii="仿宋_GB2312" w:eastAsia="仿宋_GB2312"/>
          <w:b/>
          <w:sz w:val="30"/>
          <w:szCs w:val="30"/>
        </w:rPr>
        <w:t xml:space="preserve">第四十五条 </w:t>
      </w:r>
      <w:r>
        <w:rPr>
          <w:rFonts w:hint="eastAsia" w:ascii="仿宋_GB2312" w:eastAsia="仿宋_GB2312"/>
          <w:sz w:val="30"/>
          <w:szCs w:val="30"/>
        </w:rPr>
        <w:t>本细则仅适用于</w:t>
      </w:r>
      <w:r>
        <w:rPr>
          <w:rFonts w:hint="eastAsia" w:ascii="仿宋_GB2312" w:eastAsia="仿宋_GB2312"/>
          <w:sz w:val="30"/>
          <w:szCs w:val="30"/>
          <w:lang w:val="en-US" w:eastAsia="zh-CN"/>
        </w:rPr>
        <w:t>重庆市丰都县储备粮</w:t>
      </w:r>
      <w:r>
        <w:rPr>
          <w:rFonts w:hint="eastAsia" w:ascii="仿宋_GB2312" w:eastAsia="仿宋_GB2312"/>
          <w:sz w:val="30"/>
          <w:szCs w:val="30"/>
        </w:rPr>
        <w:t>有限公司委托的本竞价专场交易，并自发布之日起执行。</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0AA0B5"/>
    <w:multiLevelType w:val="singleLevel"/>
    <w:tmpl w:val="1D0AA0B5"/>
    <w:lvl w:ilvl="0" w:tentative="0">
      <w:start w:val="6"/>
      <w:numFmt w:val="chineseCounting"/>
      <w:suff w:val="space"/>
      <w:lvlText w:val="第%1章"/>
      <w:lvlJc w:val="left"/>
      <w:rPr>
        <w:rFonts w:hint="eastAsia"/>
      </w:rPr>
    </w:lvl>
  </w:abstractNum>
  <w:abstractNum w:abstractNumId="1">
    <w:nsid w:val="60CB135F"/>
    <w:multiLevelType w:val="singleLevel"/>
    <w:tmpl w:val="60CB135F"/>
    <w:lvl w:ilvl="0" w:tentative="0">
      <w:start w:val="3"/>
      <w:numFmt w:val="chineseCounting"/>
      <w:suff w:val="nothing"/>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74C88"/>
    <w:rsid w:val="000148FB"/>
    <w:rsid w:val="00015D6F"/>
    <w:rsid w:val="00035AD3"/>
    <w:rsid w:val="00057888"/>
    <w:rsid w:val="000602ED"/>
    <w:rsid w:val="00074C88"/>
    <w:rsid w:val="000807CA"/>
    <w:rsid w:val="000A0FE7"/>
    <w:rsid w:val="000B1D6E"/>
    <w:rsid w:val="000C0C39"/>
    <w:rsid w:val="000C171D"/>
    <w:rsid w:val="000D5C56"/>
    <w:rsid w:val="001009E4"/>
    <w:rsid w:val="001029A6"/>
    <w:rsid w:val="0010520B"/>
    <w:rsid w:val="0010734C"/>
    <w:rsid w:val="00113664"/>
    <w:rsid w:val="00121C84"/>
    <w:rsid w:val="00177C0C"/>
    <w:rsid w:val="0019295F"/>
    <w:rsid w:val="00193744"/>
    <w:rsid w:val="001A5243"/>
    <w:rsid w:val="001C27D4"/>
    <w:rsid w:val="001C597A"/>
    <w:rsid w:val="00223EAB"/>
    <w:rsid w:val="00224E3B"/>
    <w:rsid w:val="00225F98"/>
    <w:rsid w:val="0023334C"/>
    <w:rsid w:val="00234F9A"/>
    <w:rsid w:val="002352CC"/>
    <w:rsid w:val="00247E59"/>
    <w:rsid w:val="00260EFD"/>
    <w:rsid w:val="00261735"/>
    <w:rsid w:val="002618F9"/>
    <w:rsid w:val="00284E24"/>
    <w:rsid w:val="00286B60"/>
    <w:rsid w:val="00287759"/>
    <w:rsid w:val="002A3D99"/>
    <w:rsid w:val="002B0C7F"/>
    <w:rsid w:val="002D5968"/>
    <w:rsid w:val="002D5CC0"/>
    <w:rsid w:val="002E76E2"/>
    <w:rsid w:val="002F72E0"/>
    <w:rsid w:val="00307FFA"/>
    <w:rsid w:val="003130B7"/>
    <w:rsid w:val="00315190"/>
    <w:rsid w:val="003178A5"/>
    <w:rsid w:val="00321DD7"/>
    <w:rsid w:val="00322DF5"/>
    <w:rsid w:val="00336EE9"/>
    <w:rsid w:val="00341D0B"/>
    <w:rsid w:val="00375672"/>
    <w:rsid w:val="00394F51"/>
    <w:rsid w:val="003C34EB"/>
    <w:rsid w:val="003D5F6E"/>
    <w:rsid w:val="003F1CEE"/>
    <w:rsid w:val="003F7066"/>
    <w:rsid w:val="00407459"/>
    <w:rsid w:val="00412A8B"/>
    <w:rsid w:val="004143CA"/>
    <w:rsid w:val="00445AAE"/>
    <w:rsid w:val="0047099A"/>
    <w:rsid w:val="00474389"/>
    <w:rsid w:val="00481AF9"/>
    <w:rsid w:val="004972E3"/>
    <w:rsid w:val="004B40E0"/>
    <w:rsid w:val="004D2CAA"/>
    <w:rsid w:val="00520305"/>
    <w:rsid w:val="00537CAD"/>
    <w:rsid w:val="00545264"/>
    <w:rsid w:val="00560B2C"/>
    <w:rsid w:val="005733C5"/>
    <w:rsid w:val="0057650F"/>
    <w:rsid w:val="005878E5"/>
    <w:rsid w:val="005904A6"/>
    <w:rsid w:val="005C7C20"/>
    <w:rsid w:val="005D1C42"/>
    <w:rsid w:val="006200EA"/>
    <w:rsid w:val="00632E2E"/>
    <w:rsid w:val="006508E8"/>
    <w:rsid w:val="00653842"/>
    <w:rsid w:val="006544B8"/>
    <w:rsid w:val="006649FD"/>
    <w:rsid w:val="0066502B"/>
    <w:rsid w:val="00667694"/>
    <w:rsid w:val="00672A49"/>
    <w:rsid w:val="00697716"/>
    <w:rsid w:val="006A1395"/>
    <w:rsid w:val="006C10DE"/>
    <w:rsid w:val="006E2A39"/>
    <w:rsid w:val="00713A8A"/>
    <w:rsid w:val="0074032E"/>
    <w:rsid w:val="00740878"/>
    <w:rsid w:val="00754A4B"/>
    <w:rsid w:val="007552F7"/>
    <w:rsid w:val="007807AF"/>
    <w:rsid w:val="00780D55"/>
    <w:rsid w:val="0078225B"/>
    <w:rsid w:val="00794C8F"/>
    <w:rsid w:val="00795DE6"/>
    <w:rsid w:val="007B2904"/>
    <w:rsid w:val="00802B26"/>
    <w:rsid w:val="00806B4D"/>
    <w:rsid w:val="008126D1"/>
    <w:rsid w:val="00864E63"/>
    <w:rsid w:val="00880B2D"/>
    <w:rsid w:val="0089463F"/>
    <w:rsid w:val="008B38DC"/>
    <w:rsid w:val="008D2A15"/>
    <w:rsid w:val="008D54F5"/>
    <w:rsid w:val="008E5ADB"/>
    <w:rsid w:val="00913941"/>
    <w:rsid w:val="0096210C"/>
    <w:rsid w:val="00982D7E"/>
    <w:rsid w:val="009956AC"/>
    <w:rsid w:val="009A0BCB"/>
    <w:rsid w:val="009A7EA1"/>
    <w:rsid w:val="009C4C61"/>
    <w:rsid w:val="009D08C2"/>
    <w:rsid w:val="009E2EB1"/>
    <w:rsid w:val="009F3D96"/>
    <w:rsid w:val="00A014FD"/>
    <w:rsid w:val="00A35057"/>
    <w:rsid w:val="00A45552"/>
    <w:rsid w:val="00A52762"/>
    <w:rsid w:val="00A601FF"/>
    <w:rsid w:val="00A60794"/>
    <w:rsid w:val="00A678C4"/>
    <w:rsid w:val="00A75B05"/>
    <w:rsid w:val="00A8650F"/>
    <w:rsid w:val="00AC7F35"/>
    <w:rsid w:val="00B04612"/>
    <w:rsid w:val="00B1415E"/>
    <w:rsid w:val="00B2646C"/>
    <w:rsid w:val="00B542C9"/>
    <w:rsid w:val="00BD57A5"/>
    <w:rsid w:val="00BF5386"/>
    <w:rsid w:val="00C038A7"/>
    <w:rsid w:val="00C16D08"/>
    <w:rsid w:val="00C500CC"/>
    <w:rsid w:val="00C7052D"/>
    <w:rsid w:val="00C915AA"/>
    <w:rsid w:val="00CA200F"/>
    <w:rsid w:val="00CA7121"/>
    <w:rsid w:val="00CB7233"/>
    <w:rsid w:val="00D12DA9"/>
    <w:rsid w:val="00D23E96"/>
    <w:rsid w:val="00D25A1A"/>
    <w:rsid w:val="00D25D24"/>
    <w:rsid w:val="00D35B33"/>
    <w:rsid w:val="00D86E9B"/>
    <w:rsid w:val="00D963DE"/>
    <w:rsid w:val="00DA6B71"/>
    <w:rsid w:val="00DD48F5"/>
    <w:rsid w:val="00DF5A7D"/>
    <w:rsid w:val="00E14025"/>
    <w:rsid w:val="00E3024D"/>
    <w:rsid w:val="00E43467"/>
    <w:rsid w:val="00E4765F"/>
    <w:rsid w:val="00E67692"/>
    <w:rsid w:val="00E70425"/>
    <w:rsid w:val="00E9787C"/>
    <w:rsid w:val="00EA7885"/>
    <w:rsid w:val="00EC71BA"/>
    <w:rsid w:val="00ED76C5"/>
    <w:rsid w:val="00EE0505"/>
    <w:rsid w:val="00F3526B"/>
    <w:rsid w:val="00F46DFD"/>
    <w:rsid w:val="00F50352"/>
    <w:rsid w:val="00F700A3"/>
    <w:rsid w:val="00F73FE3"/>
    <w:rsid w:val="00F839EB"/>
    <w:rsid w:val="00F976EA"/>
    <w:rsid w:val="00FB737F"/>
    <w:rsid w:val="00FF649E"/>
    <w:rsid w:val="01A83D81"/>
    <w:rsid w:val="01F946D0"/>
    <w:rsid w:val="026524D6"/>
    <w:rsid w:val="029D1FFA"/>
    <w:rsid w:val="02FF6C8C"/>
    <w:rsid w:val="033472C7"/>
    <w:rsid w:val="037F40A6"/>
    <w:rsid w:val="04327652"/>
    <w:rsid w:val="050D230C"/>
    <w:rsid w:val="05437070"/>
    <w:rsid w:val="05A332A9"/>
    <w:rsid w:val="06350F6D"/>
    <w:rsid w:val="06BF56FD"/>
    <w:rsid w:val="076370EC"/>
    <w:rsid w:val="08142F38"/>
    <w:rsid w:val="08602BEF"/>
    <w:rsid w:val="09561238"/>
    <w:rsid w:val="0A476AC6"/>
    <w:rsid w:val="0B091534"/>
    <w:rsid w:val="0C7A4DB8"/>
    <w:rsid w:val="0C902FB8"/>
    <w:rsid w:val="0C9A18D1"/>
    <w:rsid w:val="0CAC7138"/>
    <w:rsid w:val="0DFC1789"/>
    <w:rsid w:val="0FF514E0"/>
    <w:rsid w:val="10177F48"/>
    <w:rsid w:val="11164A09"/>
    <w:rsid w:val="12141461"/>
    <w:rsid w:val="12440113"/>
    <w:rsid w:val="13034113"/>
    <w:rsid w:val="138F2D8E"/>
    <w:rsid w:val="13DA0C4A"/>
    <w:rsid w:val="14DC140F"/>
    <w:rsid w:val="15A126A2"/>
    <w:rsid w:val="16400090"/>
    <w:rsid w:val="16DC49E9"/>
    <w:rsid w:val="184C2847"/>
    <w:rsid w:val="188A24AB"/>
    <w:rsid w:val="1B4B485D"/>
    <w:rsid w:val="1C6C55B3"/>
    <w:rsid w:val="1C7E5E33"/>
    <w:rsid w:val="1D4A22C3"/>
    <w:rsid w:val="1D744570"/>
    <w:rsid w:val="1EDE5603"/>
    <w:rsid w:val="1EED451F"/>
    <w:rsid w:val="1FB865B8"/>
    <w:rsid w:val="204A7190"/>
    <w:rsid w:val="21412179"/>
    <w:rsid w:val="215242E1"/>
    <w:rsid w:val="21E475DA"/>
    <w:rsid w:val="22AE68FE"/>
    <w:rsid w:val="22D97FA8"/>
    <w:rsid w:val="232D7D4F"/>
    <w:rsid w:val="234548AF"/>
    <w:rsid w:val="23C26A8A"/>
    <w:rsid w:val="24B34C1E"/>
    <w:rsid w:val="25A96D23"/>
    <w:rsid w:val="26B967BC"/>
    <w:rsid w:val="272C1D1D"/>
    <w:rsid w:val="277F7467"/>
    <w:rsid w:val="284D740D"/>
    <w:rsid w:val="285B1DB2"/>
    <w:rsid w:val="2B927598"/>
    <w:rsid w:val="2BBC1C71"/>
    <w:rsid w:val="2C5458C8"/>
    <w:rsid w:val="2DC80621"/>
    <w:rsid w:val="2E964FB4"/>
    <w:rsid w:val="305E597D"/>
    <w:rsid w:val="311E3E1A"/>
    <w:rsid w:val="31861B6F"/>
    <w:rsid w:val="325579E8"/>
    <w:rsid w:val="32747C4B"/>
    <w:rsid w:val="328D45C5"/>
    <w:rsid w:val="32E54AA3"/>
    <w:rsid w:val="33743B07"/>
    <w:rsid w:val="337A0147"/>
    <w:rsid w:val="33B759D5"/>
    <w:rsid w:val="343844D9"/>
    <w:rsid w:val="343E7062"/>
    <w:rsid w:val="36482202"/>
    <w:rsid w:val="36EA505B"/>
    <w:rsid w:val="374B039B"/>
    <w:rsid w:val="39515BE4"/>
    <w:rsid w:val="3A1676C6"/>
    <w:rsid w:val="3A400DCF"/>
    <w:rsid w:val="3BF21089"/>
    <w:rsid w:val="3C19244A"/>
    <w:rsid w:val="3C2644E2"/>
    <w:rsid w:val="3CBB55C8"/>
    <w:rsid w:val="3CBF5270"/>
    <w:rsid w:val="3D8516ED"/>
    <w:rsid w:val="3DB84939"/>
    <w:rsid w:val="3EC53FC8"/>
    <w:rsid w:val="3EEF1A5F"/>
    <w:rsid w:val="3EF00F76"/>
    <w:rsid w:val="3EF85F15"/>
    <w:rsid w:val="3F664151"/>
    <w:rsid w:val="3FCC4BEF"/>
    <w:rsid w:val="4004782F"/>
    <w:rsid w:val="40784162"/>
    <w:rsid w:val="41197765"/>
    <w:rsid w:val="416378C2"/>
    <w:rsid w:val="41B37645"/>
    <w:rsid w:val="430E5EA6"/>
    <w:rsid w:val="443276D0"/>
    <w:rsid w:val="44795285"/>
    <w:rsid w:val="44C82D01"/>
    <w:rsid w:val="454F2A83"/>
    <w:rsid w:val="459B05A9"/>
    <w:rsid w:val="45F96A09"/>
    <w:rsid w:val="4668225B"/>
    <w:rsid w:val="47502A76"/>
    <w:rsid w:val="492B2744"/>
    <w:rsid w:val="4A9269D4"/>
    <w:rsid w:val="4BA31FAE"/>
    <w:rsid w:val="4C1D6E48"/>
    <w:rsid w:val="4CE31EF2"/>
    <w:rsid w:val="4CEE6E13"/>
    <w:rsid w:val="4D6A59AD"/>
    <w:rsid w:val="4EA84243"/>
    <w:rsid w:val="4EB73706"/>
    <w:rsid w:val="4ED115F0"/>
    <w:rsid w:val="50957239"/>
    <w:rsid w:val="50C20770"/>
    <w:rsid w:val="50C54FC0"/>
    <w:rsid w:val="528A0907"/>
    <w:rsid w:val="53F3371D"/>
    <w:rsid w:val="551007CA"/>
    <w:rsid w:val="551C1991"/>
    <w:rsid w:val="5595404E"/>
    <w:rsid w:val="55AA5A70"/>
    <w:rsid w:val="56AD04DA"/>
    <w:rsid w:val="59934328"/>
    <w:rsid w:val="5A3D0329"/>
    <w:rsid w:val="5B141DCF"/>
    <w:rsid w:val="5B4250B0"/>
    <w:rsid w:val="5C74035F"/>
    <w:rsid w:val="5F6D5C31"/>
    <w:rsid w:val="60205F40"/>
    <w:rsid w:val="60BC5EE8"/>
    <w:rsid w:val="60D20416"/>
    <w:rsid w:val="60F163C0"/>
    <w:rsid w:val="61424350"/>
    <w:rsid w:val="61855584"/>
    <w:rsid w:val="62AA2C33"/>
    <w:rsid w:val="62EA379C"/>
    <w:rsid w:val="632D44DA"/>
    <w:rsid w:val="637F71FF"/>
    <w:rsid w:val="64635A96"/>
    <w:rsid w:val="65466853"/>
    <w:rsid w:val="663100D2"/>
    <w:rsid w:val="66921353"/>
    <w:rsid w:val="673F63CF"/>
    <w:rsid w:val="67440C25"/>
    <w:rsid w:val="67911105"/>
    <w:rsid w:val="689A1C3E"/>
    <w:rsid w:val="6C59119F"/>
    <w:rsid w:val="6D2711C7"/>
    <w:rsid w:val="6D384739"/>
    <w:rsid w:val="6D443001"/>
    <w:rsid w:val="6D85393F"/>
    <w:rsid w:val="6E1E7C07"/>
    <w:rsid w:val="6E8A1381"/>
    <w:rsid w:val="6FD420E2"/>
    <w:rsid w:val="6FD51CEE"/>
    <w:rsid w:val="6FF82499"/>
    <w:rsid w:val="70161346"/>
    <w:rsid w:val="717A7BF5"/>
    <w:rsid w:val="732A563B"/>
    <w:rsid w:val="74CF6B04"/>
    <w:rsid w:val="74ED460C"/>
    <w:rsid w:val="756003BB"/>
    <w:rsid w:val="759F41A0"/>
    <w:rsid w:val="76293DB0"/>
    <w:rsid w:val="766A504B"/>
    <w:rsid w:val="76E75583"/>
    <w:rsid w:val="76F4058F"/>
    <w:rsid w:val="770217AF"/>
    <w:rsid w:val="774D06DB"/>
    <w:rsid w:val="777F5D74"/>
    <w:rsid w:val="78466779"/>
    <w:rsid w:val="78BC3932"/>
    <w:rsid w:val="79222456"/>
    <w:rsid w:val="7A5A14E6"/>
    <w:rsid w:val="7A680EAF"/>
    <w:rsid w:val="7A724300"/>
    <w:rsid w:val="7AF218BF"/>
    <w:rsid w:val="7B425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style>
  <w:style w:type="paragraph" w:styleId="3">
    <w:name w:val="Document Map"/>
    <w:basedOn w:val="1"/>
    <w:link w:val="22"/>
    <w:unhideWhenUsed/>
    <w:qFormat/>
    <w:uiPriority w:val="0"/>
    <w:rPr>
      <w:rFonts w:ascii="宋体"/>
      <w:sz w:val="18"/>
      <w:szCs w:val="18"/>
    </w:rPr>
  </w:style>
  <w:style w:type="paragraph" w:styleId="4">
    <w:name w:val="annotation text"/>
    <w:basedOn w:val="1"/>
    <w:link w:val="20"/>
    <w:unhideWhenUsed/>
    <w:qFormat/>
    <w:uiPriority w:val="0"/>
    <w:pPr>
      <w:jc w:val="left"/>
    </w:pPr>
  </w:style>
  <w:style w:type="paragraph" w:styleId="5">
    <w:name w:val="Balloon Text"/>
    <w:basedOn w:val="1"/>
    <w:link w:val="19"/>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Autospacing="1" w:afterAutospacing="1"/>
    </w:pPr>
    <w:rPr>
      <w:sz w:val="24"/>
    </w:rPr>
  </w:style>
  <w:style w:type="paragraph" w:styleId="9">
    <w:name w:val="annotation subject"/>
    <w:basedOn w:val="4"/>
    <w:next w:val="4"/>
    <w:link w:val="21"/>
    <w:unhideWhenUsed/>
    <w:qFormat/>
    <w:uiPriority w:val="0"/>
    <w:rPr>
      <w:b/>
      <w:bCs/>
    </w:rPr>
  </w:style>
  <w:style w:type="character" w:styleId="12">
    <w:name w:val="Strong"/>
    <w:basedOn w:val="11"/>
    <w:qFormat/>
    <w:uiPriority w:val="0"/>
    <w:rPr>
      <w:b/>
    </w:rPr>
  </w:style>
  <w:style w:type="character" w:styleId="13">
    <w:name w:val="FollowedHyperlink"/>
    <w:unhideWhenUsed/>
    <w:qFormat/>
    <w:uiPriority w:val="99"/>
    <w:rPr>
      <w:color w:val="800080"/>
      <w:u w:val="single"/>
    </w:rPr>
  </w:style>
  <w:style w:type="character" w:styleId="14">
    <w:name w:val="Hyperlink"/>
    <w:unhideWhenUsed/>
    <w:qFormat/>
    <w:uiPriority w:val="99"/>
    <w:rPr>
      <w:color w:val="0000FF"/>
      <w:u w:val="single"/>
    </w:rPr>
  </w:style>
  <w:style w:type="character" w:styleId="15">
    <w:name w:val="annotation reference"/>
    <w:unhideWhenUsed/>
    <w:qFormat/>
    <w:uiPriority w:val="0"/>
    <w:rPr>
      <w:sz w:val="21"/>
      <w:szCs w:val="21"/>
    </w:rPr>
  </w:style>
  <w:style w:type="paragraph" w:customStyle="1" w:styleId="16">
    <w:name w:val="列出段落1"/>
    <w:basedOn w:val="1"/>
    <w:unhideWhenUsed/>
    <w:qFormat/>
    <w:uiPriority w:val="99"/>
    <w:pPr>
      <w:ind w:firstLine="420" w:firstLineChars="200"/>
    </w:pPr>
  </w:style>
  <w:style w:type="character" w:customStyle="1" w:styleId="17">
    <w:name w:val="页眉 Char"/>
    <w:link w:val="7"/>
    <w:qFormat/>
    <w:uiPriority w:val="99"/>
    <w:rPr>
      <w:sz w:val="18"/>
      <w:szCs w:val="18"/>
    </w:rPr>
  </w:style>
  <w:style w:type="character" w:customStyle="1" w:styleId="18">
    <w:name w:val="页脚 Char"/>
    <w:link w:val="6"/>
    <w:qFormat/>
    <w:uiPriority w:val="99"/>
    <w:rPr>
      <w:sz w:val="18"/>
      <w:szCs w:val="18"/>
    </w:rPr>
  </w:style>
  <w:style w:type="character" w:customStyle="1" w:styleId="19">
    <w:name w:val="批注框文本 Char"/>
    <w:link w:val="5"/>
    <w:qFormat/>
    <w:uiPriority w:val="99"/>
    <w:rPr>
      <w:kern w:val="2"/>
      <w:sz w:val="18"/>
      <w:szCs w:val="18"/>
    </w:rPr>
  </w:style>
  <w:style w:type="character" w:customStyle="1" w:styleId="20">
    <w:name w:val="批注文字 Char"/>
    <w:link w:val="4"/>
    <w:qFormat/>
    <w:uiPriority w:val="0"/>
    <w:rPr>
      <w:kern w:val="2"/>
      <w:sz w:val="21"/>
      <w:szCs w:val="24"/>
    </w:rPr>
  </w:style>
  <w:style w:type="character" w:customStyle="1" w:styleId="21">
    <w:name w:val="批注主题 Char"/>
    <w:link w:val="9"/>
    <w:qFormat/>
    <w:uiPriority w:val="0"/>
    <w:rPr>
      <w:b/>
      <w:bCs/>
      <w:kern w:val="2"/>
      <w:sz w:val="21"/>
      <w:szCs w:val="24"/>
    </w:rPr>
  </w:style>
  <w:style w:type="character" w:customStyle="1" w:styleId="22">
    <w:name w:val="文档结构图 Char"/>
    <w:link w:val="3"/>
    <w:semiHidden/>
    <w:qFormat/>
    <w:uiPriority w:val="0"/>
    <w:rPr>
      <w:rFonts w:ascii="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12</Pages>
  <Words>918</Words>
  <Characters>5238</Characters>
  <Lines>43</Lines>
  <Paragraphs>12</Paragraphs>
  <TotalTime>0</TotalTime>
  <ScaleCrop>false</ScaleCrop>
  <LinksUpToDate>false</LinksUpToDate>
  <CharactersWithSpaces>6144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2017-07-14T03:24:00Z</dcterms:created>
  <dc:creator>sysun</dc:creator>
  <cp:lastModifiedBy>陈琳</cp:lastModifiedBy>
  <cp:lastPrinted>2019-01-08T06:43:00Z</cp:lastPrinted>
  <dcterms:modified xsi:type="dcterms:W3CDTF">2022-01-06T11:00:25Z</dcterms:modified>
  <dc:title>中储粮山西分公司玉米竞价销售专场交易细则</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FA7B72018D4E43C0ABE89BAE1C93F042</vt:lpwstr>
  </property>
</Properties>
</file>